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51307" w14:textId="77777777" w:rsidR="00313F52" w:rsidRPr="00B234AF" w:rsidRDefault="00313F52" w:rsidP="00B234AF">
      <w:pPr>
        <w:pStyle w:val="Corpsdetexte"/>
        <w:rPr>
          <w:color w:val="000000" w:themeColor="text1"/>
        </w:rPr>
        <w:sectPr w:rsidR="00313F52" w:rsidRPr="00B234AF" w:rsidSect="002C08FC">
          <w:headerReference w:type="default" r:id="rId8"/>
          <w:footerReference w:type="even" r:id="rId9"/>
          <w:footerReference w:type="default" r:id="rId10"/>
          <w:type w:val="continuous"/>
          <w:pgSz w:w="11910" w:h="16840"/>
          <w:pgMar w:top="966" w:right="964" w:bottom="964" w:left="964" w:header="720" w:footer="720" w:gutter="0"/>
          <w:cols w:space="720"/>
        </w:sectPr>
      </w:pPr>
    </w:p>
    <w:p w14:paraId="7E57CEBA" w14:textId="77777777" w:rsidR="00937F85" w:rsidRPr="00B82885" w:rsidRDefault="00937F85" w:rsidP="00B234AF">
      <w:pPr>
        <w:pStyle w:val="Corpsdetexte"/>
        <w:rPr>
          <w:sz w:val="36"/>
        </w:rPr>
      </w:pPr>
    </w:p>
    <w:tbl>
      <w:tblPr>
        <w:tblStyle w:val="Grilledutableau"/>
        <w:tblW w:w="10774" w:type="dxa"/>
        <w:tblInd w:w="-289" w:type="dxa"/>
        <w:tblLook w:val="04A0" w:firstRow="1" w:lastRow="0" w:firstColumn="1" w:lastColumn="0" w:noHBand="0" w:noVBand="1"/>
      </w:tblPr>
      <w:tblGrid>
        <w:gridCol w:w="10774"/>
      </w:tblGrid>
      <w:tr w:rsidR="00B82885" w:rsidRPr="002F4600" w14:paraId="4CA54519" w14:textId="77777777" w:rsidTr="00B234AF">
        <w:tc>
          <w:tcPr>
            <w:tcW w:w="10774" w:type="dxa"/>
            <w:shd w:val="clear" w:color="auto" w:fill="D6E3BC" w:themeFill="accent3" w:themeFillTint="66"/>
          </w:tcPr>
          <w:p w14:paraId="09A2B7F3" w14:textId="77777777" w:rsidR="003436C8" w:rsidRDefault="003436C8" w:rsidP="00B82885">
            <w:pPr>
              <w:pStyle w:val="Corpsdetexte"/>
              <w:jc w:val="center"/>
              <w:rPr>
                <w:b/>
                <w:sz w:val="36"/>
              </w:rPr>
            </w:pPr>
          </w:p>
          <w:p w14:paraId="42779ADA" w14:textId="77777777" w:rsidR="00B82885" w:rsidRPr="003436C8" w:rsidRDefault="003436C8" w:rsidP="00B82885">
            <w:pPr>
              <w:pStyle w:val="Corpsdetexte"/>
              <w:jc w:val="center"/>
              <w:rPr>
                <w:b/>
                <w:sz w:val="40"/>
              </w:rPr>
            </w:pPr>
            <w:r w:rsidRPr="003436C8">
              <w:rPr>
                <w:b/>
                <w:sz w:val="40"/>
              </w:rPr>
              <w:t xml:space="preserve">Cahier des charges </w:t>
            </w:r>
          </w:p>
          <w:p w14:paraId="017C722B" w14:textId="77777777" w:rsidR="003436C8" w:rsidRPr="003436C8" w:rsidRDefault="003436C8" w:rsidP="00B82885">
            <w:pPr>
              <w:pStyle w:val="Corpsdetexte"/>
              <w:jc w:val="center"/>
              <w:rPr>
                <w:b/>
                <w:sz w:val="40"/>
              </w:rPr>
            </w:pPr>
            <w:r w:rsidRPr="003436C8">
              <w:rPr>
                <w:b/>
                <w:sz w:val="40"/>
              </w:rPr>
              <w:t>-</w:t>
            </w:r>
          </w:p>
          <w:p w14:paraId="1E348E5A" w14:textId="77777777" w:rsidR="00B82885" w:rsidRPr="003436C8" w:rsidRDefault="00B82885" w:rsidP="00B82885">
            <w:pPr>
              <w:pStyle w:val="Corpsdetexte"/>
              <w:jc w:val="center"/>
              <w:rPr>
                <w:b/>
                <w:i/>
                <w:sz w:val="40"/>
              </w:rPr>
            </w:pPr>
            <w:r w:rsidRPr="003436C8">
              <w:rPr>
                <w:b/>
                <w:i/>
                <w:sz w:val="40"/>
              </w:rPr>
              <w:t>Postes Médecins Spécialistes Partagés Ville/Hôpital</w:t>
            </w:r>
          </w:p>
          <w:p w14:paraId="6145C50C" w14:textId="77777777" w:rsidR="00B82885" w:rsidRPr="00B82885" w:rsidRDefault="00B82885" w:rsidP="00B82885">
            <w:pPr>
              <w:pStyle w:val="Corpsdetexte"/>
              <w:jc w:val="center"/>
              <w:rPr>
                <w:sz w:val="36"/>
              </w:rPr>
            </w:pPr>
          </w:p>
        </w:tc>
      </w:tr>
    </w:tbl>
    <w:p w14:paraId="7B58A93E" w14:textId="77777777" w:rsidR="00937F85" w:rsidRPr="003436C8" w:rsidRDefault="00937F85" w:rsidP="00EE15FE">
      <w:pPr>
        <w:pStyle w:val="Corpsdetexte"/>
        <w:jc w:val="both"/>
        <w:rPr>
          <w:sz w:val="22"/>
        </w:rPr>
      </w:pPr>
    </w:p>
    <w:p w14:paraId="1361B593" w14:textId="77777777" w:rsidR="003436C8" w:rsidRPr="003436C8" w:rsidRDefault="003436C8" w:rsidP="00EE15FE">
      <w:pPr>
        <w:pStyle w:val="Corpsdetexte"/>
        <w:jc w:val="both"/>
        <w:rPr>
          <w:sz w:val="22"/>
        </w:rPr>
      </w:pPr>
      <w:r w:rsidRPr="003436C8">
        <w:t>Le plan national de renforcement de l’accès territorial aux soins prévoit la création de 6 postes d’assistants partagés entre la ville et l’hôpital en région Centre-Val de Loire.</w:t>
      </w:r>
    </w:p>
    <w:p w14:paraId="267F7A3B" w14:textId="77777777" w:rsidR="003436C8" w:rsidRDefault="003436C8" w:rsidP="00EE15FE">
      <w:pPr>
        <w:pStyle w:val="Corpsdetexte"/>
        <w:jc w:val="both"/>
      </w:pPr>
    </w:p>
    <w:p w14:paraId="0380FB42" w14:textId="77777777" w:rsidR="00B234AF" w:rsidRDefault="003436C8" w:rsidP="003436C8">
      <w:pPr>
        <w:pStyle w:val="Corpsdetexte"/>
        <w:numPr>
          <w:ilvl w:val="0"/>
          <w:numId w:val="21"/>
        </w:numPr>
        <w:shd w:val="clear" w:color="auto" w:fill="EAF1DD" w:themeFill="accent3" w:themeFillTint="33"/>
        <w:jc w:val="both"/>
        <w:rPr>
          <w:b/>
          <w:sz w:val="22"/>
        </w:rPr>
      </w:pPr>
      <w:r w:rsidRPr="003436C8">
        <w:rPr>
          <w:b/>
          <w:sz w:val="22"/>
        </w:rPr>
        <w:t>Objet de la création de</w:t>
      </w:r>
      <w:r w:rsidR="00445FB1">
        <w:rPr>
          <w:b/>
          <w:sz w:val="22"/>
        </w:rPr>
        <w:t xml:space="preserve"> postes d’Assistants spécialistes</w:t>
      </w:r>
      <w:r w:rsidRPr="003436C8">
        <w:rPr>
          <w:b/>
          <w:sz w:val="22"/>
        </w:rPr>
        <w:t xml:space="preserve"> partagés Ville/Hôpital </w:t>
      </w:r>
    </w:p>
    <w:p w14:paraId="0633D3F1" w14:textId="77777777" w:rsidR="003436C8" w:rsidRDefault="003436C8" w:rsidP="003436C8">
      <w:pPr>
        <w:pStyle w:val="Corpsdetexte"/>
        <w:jc w:val="both"/>
        <w:rPr>
          <w:b/>
          <w:sz w:val="22"/>
        </w:rPr>
      </w:pPr>
    </w:p>
    <w:p w14:paraId="0D568A8A" w14:textId="77777777" w:rsidR="003436C8" w:rsidRDefault="003436C8" w:rsidP="003436C8">
      <w:pPr>
        <w:pStyle w:val="Corpsdetexte"/>
        <w:jc w:val="both"/>
        <w:rPr>
          <w:szCs w:val="20"/>
        </w:rPr>
      </w:pPr>
      <w:r w:rsidRPr="003436C8">
        <w:rPr>
          <w:szCs w:val="20"/>
        </w:rPr>
        <w:t xml:space="preserve">Ces postes visent à permettre à de jeunes médecins spécialistes de développer un exercice mixte entre une structure hospitalière et une structure ambulatoire (communauté professionnelle territoriale de santé, centre de santé, maison de santé pluridisciplinaire…). </w:t>
      </w:r>
    </w:p>
    <w:p w14:paraId="4C0D7645" w14:textId="77777777" w:rsidR="003436C8" w:rsidRDefault="003436C8" w:rsidP="003436C8">
      <w:pPr>
        <w:pStyle w:val="Corpsdetexte"/>
        <w:jc w:val="both"/>
        <w:rPr>
          <w:szCs w:val="20"/>
        </w:rPr>
      </w:pPr>
    </w:p>
    <w:p w14:paraId="3B7F205D" w14:textId="77777777" w:rsidR="003436C8" w:rsidRPr="003436C8" w:rsidRDefault="003436C8" w:rsidP="003436C8">
      <w:pPr>
        <w:pStyle w:val="Corpsdetexte"/>
        <w:jc w:val="both"/>
        <w:rPr>
          <w:szCs w:val="20"/>
        </w:rPr>
      </w:pPr>
      <w:r w:rsidRPr="003436C8">
        <w:rPr>
          <w:szCs w:val="20"/>
        </w:rPr>
        <w:t>Cela en vue, au début de leur carrière, d’appréhender dans un cadre sécurisant une forme d’exercice ambulatoire différente de celle connue au cours de leur formation hospitalière, mais aussi d’encourager leur installation et de renforcer le lien ville-hôpital.</w:t>
      </w:r>
    </w:p>
    <w:p w14:paraId="17096DD3" w14:textId="77777777" w:rsidR="003436C8" w:rsidRPr="003436C8" w:rsidRDefault="003436C8" w:rsidP="003436C8">
      <w:pPr>
        <w:pStyle w:val="Corpsdetexte"/>
        <w:jc w:val="both"/>
        <w:rPr>
          <w:szCs w:val="20"/>
        </w:rPr>
      </w:pPr>
    </w:p>
    <w:p w14:paraId="5FC6E98E" w14:textId="77777777" w:rsidR="003436C8" w:rsidRDefault="003436C8" w:rsidP="003436C8">
      <w:pPr>
        <w:pStyle w:val="Corpsdetexte"/>
        <w:jc w:val="both"/>
        <w:rPr>
          <w:szCs w:val="20"/>
        </w:rPr>
      </w:pPr>
      <w:r w:rsidRPr="003436C8">
        <w:rPr>
          <w:szCs w:val="20"/>
        </w:rPr>
        <w:t>Il existe déjà des postes d’assistants spécialistes partagés entre hôpitaux publics. Ce nouveau contrat se fera non plus uniquement entre hôpitaux, mais entre un hôpital et une structure libérale ambulatoire (ou centre de santé), pour l’ensemble des spécialités à l’exception de la médecine générale.</w:t>
      </w:r>
    </w:p>
    <w:p w14:paraId="6CFAC560" w14:textId="77777777" w:rsidR="00FD69DB" w:rsidRDefault="00FD69DB" w:rsidP="003436C8">
      <w:pPr>
        <w:pStyle w:val="Corpsdetexte"/>
        <w:jc w:val="both"/>
        <w:rPr>
          <w:szCs w:val="20"/>
        </w:rPr>
      </w:pPr>
    </w:p>
    <w:p w14:paraId="6B72D714" w14:textId="77777777" w:rsidR="00FD69DB" w:rsidRPr="000F1F9C" w:rsidRDefault="00FD69DB" w:rsidP="003436C8">
      <w:pPr>
        <w:pStyle w:val="Corpsdetexte"/>
        <w:jc w:val="both"/>
        <w:rPr>
          <w:szCs w:val="20"/>
        </w:rPr>
      </w:pPr>
      <w:r w:rsidRPr="000F1F9C">
        <w:rPr>
          <w:szCs w:val="20"/>
        </w:rPr>
        <w:t xml:space="preserve">Pour la médecine générale, d’autres dispositifs existent : contrat chef </w:t>
      </w:r>
      <w:r w:rsidR="009828C1" w:rsidRPr="000F1F9C">
        <w:rPr>
          <w:szCs w:val="20"/>
        </w:rPr>
        <w:t>de clinique de médecine générale.</w:t>
      </w:r>
      <w:r w:rsidR="009828C1" w:rsidRPr="000F1F9C">
        <w:t xml:space="preserve"> </w:t>
      </w:r>
      <w:r w:rsidR="009828C1" w:rsidRPr="000F1F9C">
        <w:rPr>
          <w:szCs w:val="20"/>
        </w:rPr>
        <w:t>Ce contrat vise à accompagner financièrement les jeunes médecins généralistes, occupant des fonctions d’enseignement à l’université comme chef de clinique de médecine générale, dans leur installation libérale. Ils exercent leur activité de soins en ville et non en milieu hospitalier.</w:t>
      </w:r>
    </w:p>
    <w:p w14:paraId="2FB206FD" w14:textId="77777777" w:rsidR="003436C8" w:rsidRPr="003436C8" w:rsidRDefault="003436C8" w:rsidP="003436C8">
      <w:pPr>
        <w:pStyle w:val="Corpsdetexte"/>
        <w:jc w:val="both"/>
        <w:rPr>
          <w:szCs w:val="20"/>
        </w:rPr>
      </w:pPr>
    </w:p>
    <w:p w14:paraId="5BC2E0F7" w14:textId="77777777" w:rsidR="003436C8" w:rsidRPr="003436C8" w:rsidRDefault="003436C8" w:rsidP="003436C8">
      <w:pPr>
        <w:pStyle w:val="Corpsdetexte"/>
        <w:jc w:val="both"/>
        <w:rPr>
          <w:szCs w:val="20"/>
        </w:rPr>
      </w:pPr>
      <w:r w:rsidRPr="003436C8">
        <w:rPr>
          <w:szCs w:val="20"/>
        </w:rPr>
        <w:t xml:space="preserve">Ce nouveau dispositif s’inscrit parfaitement dans le cadre de la dynamique des communautés professionnelles territoriales de </w:t>
      </w:r>
      <w:r w:rsidRPr="000F1F9C">
        <w:rPr>
          <w:szCs w:val="20"/>
        </w:rPr>
        <w:t xml:space="preserve">santé </w:t>
      </w:r>
      <w:r w:rsidR="009828C1" w:rsidRPr="000F1F9C">
        <w:rPr>
          <w:szCs w:val="20"/>
        </w:rPr>
        <w:t xml:space="preserve">(CPTS) </w:t>
      </w:r>
      <w:r w:rsidRPr="003436C8">
        <w:rPr>
          <w:szCs w:val="20"/>
        </w:rPr>
        <w:t>déployées par l’URPS dans les différents territoires de la région. Ce sera ainsi pour de jeunes médecins l’occasion d’être acteur des évolutions de notre système de santé tout en continuant à se former.</w:t>
      </w:r>
    </w:p>
    <w:p w14:paraId="5E3D4164" w14:textId="77777777" w:rsidR="003436C8" w:rsidRPr="003436C8" w:rsidRDefault="003436C8" w:rsidP="003436C8">
      <w:pPr>
        <w:pStyle w:val="Corpsdetexte"/>
        <w:jc w:val="both"/>
        <w:rPr>
          <w:szCs w:val="20"/>
        </w:rPr>
      </w:pPr>
    </w:p>
    <w:p w14:paraId="6F02751D" w14:textId="77777777" w:rsidR="003436C8" w:rsidRDefault="003436C8" w:rsidP="003436C8">
      <w:pPr>
        <w:pStyle w:val="Corpsdetexte"/>
        <w:jc w:val="both"/>
        <w:rPr>
          <w:szCs w:val="20"/>
        </w:rPr>
      </w:pPr>
      <w:r w:rsidRPr="003436C8">
        <w:rPr>
          <w:szCs w:val="20"/>
        </w:rPr>
        <w:t>Les candidatures retenues concerneront les territoires de la région inscrits en zones sous denses dans le cadre du zonage "médecin”, ce qui représente plus</w:t>
      </w:r>
      <w:r w:rsidR="00FD69DB">
        <w:rPr>
          <w:szCs w:val="20"/>
        </w:rPr>
        <w:t xml:space="preserve"> de 85 % du territoire régional.</w:t>
      </w:r>
    </w:p>
    <w:p w14:paraId="4C53C6EE" w14:textId="77777777" w:rsidR="003436C8" w:rsidRPr="003436C8" w:rsidRDefault="003436C8" w:rsidP="003436C8">
      <w:pPr>
        <w:pStyle w:val="Corpsdetexte"/>
        <w:jc w:val="both"/>
        <w:rPr>
          <w:szCs w:val="20"/>
        </w:rPr>
      </w:pPr>
    </w:p>
    <w:p w14:paraId="450379CB" w14:textId="77777777" w:rsidR="003436C8" w:rsidRPr="003436C8" w:rsidRDefault="003436C8" w:rsidP="003436C8">
      <w:pPr>
        <w:pStyle w:val="Corpsdetexte"/>
        <w:jc w:val="both"/>
        <w:rPr>
          <w:szCs w:val="20"/>
        </w:rPr>
      </w:pPr>
    </w:p>
    <w:p w14:paraId="316438B7" w14:textId="77777777" w:rsidR="003436C8" w:rsidRPr="003436C8" w:rsidRDefault="003436C8" w:rsidP="003436C8">
      <w:pPr>
        <w:pStyle w:val="Corpsdetexte"/>
        <w:numPr>
          <w:ilvl w:val="0"/>
          <w:numId w:val="21"/>
        </w:numPr>
        <w:shd w:val="clear" w:color="auto" w:fill="EAF1DD" w:themeFill="accent3" w:themeFillTint="33"/>
        <w:rPr>
          <w:b/>
          <w:sz w:val="22"/>
          <w:szCs w:val="20"/>
        </w:rPr>
      </w:pPr>
      <w:r w:rsidRPr="003436C8">
        <w:rPr>
          <w:b/>
          <w:sz w:val="22"/>
          <w:szCs w:val="20"/>
        </w:rPr>
        <w:t>Objectifs du dispositif :</w:t>
      </w:r>
    </w:p>
    <w:p w14:paraId="6CE08165" w14:textId="77777777" w:rsidR="003436C8" w:rsidRPr="003436C8" w:rsidRDefault="003436C8" w:rsidP="003436C8">
      <w:pPr>
        <w:pStyle w:val="Corpsdetexte"/>
        <w:rPr>
          <w:szCs w:val="20"/>
        </w:rPr>
      </w:pPr>
    </w:p>
    <w:p w14:paraId="7BD0F361" w14:textId="77777777" w:rsidR="003436C8" w:rsidRPr="003436C8" w:rsidRDefault="003436C8" w:rsidP="003436C8">
      <w:pPr>
        <w:pStyle w:val="Corpsdetexte"/>
        <w:numPr>
          <w:ilvl w:val="0"/>
          <w:numId w:val="6"/>
        </w:numPr>
        <w:rPr>
          <w:szCs w:val="20"/>
        </w:rPr>
      </w:pPr>
      <w:r w:rsidRPr="003436C8">
        <w:rPr>
          <w:szCs w:val="20"/>
        </w:rPr>
        <w:t>Répondre immédiatement aux problèmes d’accès aux soins que connaissent certains territoires</w:t>
      </w:r>
    </w:p>
    <w:p w14:paraId="1A15BB77" w14:textId="77777777" w:rsidR="003436C8" w:rsidRPr="003436C8" w:rsidRDefault="003436C8" w:rsidP="003436C8">
      <w:pPr>
        <w:pStyle w:val="Corpsdetexte"/>
        <w:numPr>
          <w:ilvl w:val="0"/>
          <w:numId w:val="6"/>
        </w:numPr>
        <w:rPr>
          <w:szCs w:val="20"/>
        </w:rPr>
      </w:pPr>
      <w:r w:rsidRPr="003436C8">
        <w:rPr>
          <w:szCs w:val="20"/>
        </w:rPr>
        <w:t xml:space="preserve">Améliorer le lien entre la ville et l’hôpital de manière concrète et contribuer à la coopération médicale territoriale </w:t>
      </w:r>
    </w:p>
    <w:p w14:paraId="4EC57502" w14:textId="77777777" w:rsidR="003436C8" w:rsidRPr="003436C8" w:rsidRDefault="003436C8" w:rsidP="003436C8">
      <w:pPr>
        <w:pStyle w:val="Corpsdetexte"/>
        <w:numPr>
          <w:ilvl w:val="0"/>
          <w:numId w:val="7"/>
        </w:numPr>
        <w:rPr>
          <w:szCs w:val="20"/>
        </w:rPr>
      </w:pPr>
      <w:r w:rsidRPr="003436C8">
        <w:rPr>
          <w:szCs w:val="20"/>
        </w:rPr>
        <w:lastRenderedPageBreak/>
        <w:t xml:space="preserve">Permettre aux jeunes médecins, à l’issue de leurs études, d’appréhender concrètement plusieurs formes d’exercice </w:t>
      </w:r>
    </w:p>
    <w:p w14:paraId="0826B116" w14:textId="77777777" w:rsidR="003436C8" w:rsidRPr="003436C8" w:rsidRDefault="003436C8" w:rsidP="003436C8">
      <w:pPr>
        <w:pStyle w:val="Corpsdetexte"/>
        <w:numPr>
          <w:ilvl w:val="0"/>
          <w:numId w:val="7"/>
        </w:numPr>
        <w:rPr>
          <w:szCs w:val="20"/>
        </w:rPr>
      </w:pPr>
      <w:r w:rsidRPr="003436C8">
        <w:rPr>
          <w:szCs w:val="20"/>
        </w:rPr>
        <w:t>Créer de vrais parcours professionnels pour les jeunes médecins entre la ville et l'hôpital</w:t>
      </w:r>
    </w:p>
    <w:p w14:paraId="4F6446EC" w14:textId="77777777" w:rsidR="003436C8" w:rsidRDefault="003436C8" w:rsidP="003436C8">
      <w:pPr>
        <w:pStyle w:val="Corpsdetexte"/>
        <w:numPr>
          <w:ilvl w:val="0"/>
          <w:numId w:val="6"/>
        </w:numPr>
        <w:jc w:val="both"/>
        <w:rPr>
          <w:szCs w:val="20"/>
        </w:rPr>
      </w:pPr>
      <w:r w:rsidRPr="003436C8">
        <w:rPr>
          <w:szCs w:val="20"/>
        </w:rPr>
        <w:t>Permettre à de jeunes médecins de parfaire leur formation post-internat et favoriser la mixité d’exercice</w:t>
      </w:r>
    </w:p>
    <w:p w14:paraId="5501B2D6" w14:textId="77777777" w:rsidR="003436C8" w:rsidRDefault="003436C8" w:rsidP="003436C8">
      <w:pPr>
        <w:pStyle w:val="Corpsdetexte"/>
        <w:jc w:val="both"/>
        <w:rPr>
          <w:szCs w:val="20"/>
        </w:rPr>
      </w:pPr>
    </w:p>
    <w:p w14:paraId="3D36932F" w14:textId="77777777" w:rsidR="003436C8" w:rsidRPr="0032186A" w:rsidRDefault="003436C8" w:rsidP="0032186A">
      <w:pPr>
        <w:pStyle w:val="Corpsdetexte"/>
        <w:numPr>
          <w:ilvl w:val="0"/>
          <w:numId w:val="21"/>
        </w:numPr>
        <w:shd w:val="clear" w:color="auto" w:fill="EAF1DD" w:themeFill="accent3" w:themeFillTint="33"/>
        <w:jc w:val="both"/>
        <w:rPr>
          <w:b/>
          <w:sz w:val="22"/>
          <w:szCs w:val="20"/>
        </w:rPr>
      </w:pPr>
      <w:r w:rsidRPr="0032186A">
        <w:rPr>
          <w:b/>
          <w:sz w:val="22"/>
          <w:szCs w:val="20"/>
        </w:rPr>
        <w:t xml:space="preserve">Modalités de prise en charge financière </w:t>
      </w:r>
    </w:p>
    <w:p w14:paraId="71B94AF0" w14:textId="77777777" w:rsidR="003436C8" w:rsidRDefault="003436C8" w:rsidP="003436C8">
      <w:pPr>
        <w:pStyle w:val="Corpsdetexte"/>
        <w:jc w:val="both"/>
        <w:rPr>
          <w:szCs w:val="20"/>
        </w:rPr>
      </w:pPr>
    </w:p>
    <w:p w14:paraId="6C7CC35C" w14:textId="330D5D60" w:rsidR="0032186A" w:rsidRDefault="0032186A" w:rsidP="0032186A">
      <w:pPr>
        <w:pStyle w:val="Corpsdetexte"/>
        <w:jc w:val="both"/>
        <w:rPr>
          <w:szCs w:val="20"/>
        </w:rPr>
      </w:pPr>
      <w:r w:rsidRPr="0032186A">
        <w:rPr>
          <w:szCs w:val="20"/>
        </w:rPr>
        <w:t xml:space="preserve">Le financement du salaire relatif à l’activité hospitalière du médecin </w:t>
      </w:r>
      <w:r w:rsidRPr="0032186A">
        <w:rPr>
          <w:b/>
          <w:bCs/>
          <w:szCs w:val="20"/>
        </w:rPr>
        <w:t>sera i</w:t>
      </w:r>
      <w:r>
        <w:rPr>
          <w:b/>
          <w:bCs/>
          <w:szCs w:val="20"/>
        </w:rPr>
        <w:t xml:space="preserve">ntégralement pris en charge par </w:t>
      </w:r>
      <w:r w:rsidRPr="0032186A">
        <w:rPr>
          <w:b/>
          <w:bCs/>
          <w:szCs w:val="20"/>
        </w:rPr>
        <w:t xml:space="preserve">l’ARS </w:t>
      </w:r>
      <w:r>
        <w:rPr>
          <w:b/>
          <w:bCs/>
          <w:szCs w:val="20"/>
        </w:rPr>
        <w:t>Centre-Val de Loire</w:t>
      </w:r>
      <w:r w:rsidRPr="0032186A">
        <w:rPr>
          <w:b/>
          <w:bCs/>
          <w:szCs w:val="20"/>
        </w:rPr>
        <w:t xml:space="preserve"> pendant 2 ans</w:t>
      </w:r>
      <w:r w:rsidR="000A1E39">
        <w:rPr>
          <w:b/>
          <w:bCs/>
          <w:szCs w:val="20"/>
        </w:rPr>
        <w:t xml:space="preserve"> </w:t>
      </w:r>
      <w:r w:rsidR="000A1E39" w:rsidRPr="00A32755">
        <w:rPr>
          <w:b/>
          <w:bCs/>
          <w:szCs w:val="20"/>
        </w:rPr>
        <w:t>(la réalisation d’une seule année d’assistanat est également possible)</w:t>
      </w:r>
      <w:r w:rsidRPr="00A32755">
        <w:rPr>
          <w:b/>
          <w:bCs/>
          <w:szCs w:val="20"/>
        </w:rPr>
        <w:t> </w:t>
      </w:r>
      <w:r w:rsidRPr="00A32755">
        <w:rPr>
          <w:szCs w:val="20"/>
        </w:rPr>
        <w:t>:</w:t>
      </w:r>
      <w:r>
        <w:rPr>
          <w:szCs w:val="20"/>
        </w:rPr>
        <w:t xml:space="preserve"> </w:t>
      </w:r>
      <w:r w:rsidRPr="0032186A">
        <w:rPr>
          <w:szCs w:val="20"/>
        </w:rPr>
        <w:t xml:space="preserve">la répartition du temps de travail </w:t>
      </w:r>
      <w:r>
        <w:rPr>
          <w:szCs w:val="20"/>
        </w:rPr>
        <w:t xml:space="preserve">doit être à 50% dans chaque structures (modulation possible si motivé). </w:t>
      </w:r>
    </w:p>
    <w:p w14:paraId="095F891A" w14:textId="77777777" w:rsidR="005C1E67" w:rsidRDefault="005C1E67" w:rsidP="0032186A">
      <w:pPr>
        <w:pStyle w:val="Corpsdetexte"/>
        <w:jc w:val="both"/>
        <w:rPr>
          <w:szCs w:val="20"/>
        </w:rPr>
      </w:pPr>
    </w:p>
    <w:p w14:paraId="311B547B" w14:textId="77777777" w:rsidR="005C1E67" w:rsidRPr="005C1E67" w:rsidRDefault="005C1E67" w:rsidP="0032186A">
      <w:pPr>
        <w:pStyle w:val="Corpsdetexte"/>
        <w:jc w:val="both"/>
        <w:rPr>
          <w:b/>
          <w:szCs w:val="20"/>
        </w:rPr>
      </w:pPr>
      <w:r w:rsidRPr="005C1E67">
        <w:rPr>
          <w:b/>
          <w:szCs w:val="20"/>
        </w:rPr>
        <w:t xml:space="preserve">Financement pour l’exercice en établissement de santé : </w:t>
      </w:r>
    </w:p>
    <w:p w14:paraId="0084C8B5" w14:textId="77777777" w:rsidR="0032186A" w:rsidRDefault="0032186A" w:rsidP="0032186A">
      <w:pPr>
        <w:pStyle w:val="Corpsdetexte"/>
        <w:jc w:val="both"/>
        <w:rPr>
          <w:szCs w:val="20"/>
        </w:rPr>
      </w:pPr>
    </w:p>
    <w:p w14:paraId="011468F4" w14:textId="77777777" w:rsidR="0032186A" w:rsidRDefault="0032186A" w:rsidP="0032186A">
      <w:pPr>
        <w:pStyle w:val="Corpsdetexte"/>
        <w:jc w:val="both"/>
        <w:rPr>
          <w:szCs w:val="20"/>
        </w:rPr>
      </w:pPr>
      <w:r>
        <w:rPr>
          <w:szCs w:val="20"/>
        </w:rPr>
        <w:t>La rémunération mensuelle est constituée du traitement de base et de l’indemnité d’engagement pour exercice d’une activité de service public exclusif (IESPE)</w:t>
      </w:r>
    </w:p>
    <w:p w14:paraId="070AF7AA" w14:textId="77777777" w:rsidR="0032186A" w:rsidRDefault="0032186A" w:rsidP="0032186A">
      <w:pPr>
        <w:pStyle w:val="Corpsdetexte"/>
        <w:jc w:val="both"/>
        <w:rPr>
          <w:b/>
          <w:bCs/>
          <w:szCs w:val="20"/>
        </w:rPr>
      </w:pPr>
    </w:p>
    <w:tbl>
      <w:tblPr>
        <w:tblStyle w:val="Grilledutableau"/>
        <w:tblW w:w="0" w:type="auto"/>
        <w:tblLook w:val="04A0" w:firstRow="1" w:lastRow="0" w:firstColumn="1" w:lastColumn="0" w:noHBand="0" w:noVBand="1"/>
      </w:tblPr>
      <w:tblGrid>
        <w:gridCol w:w="2493"/>
        <w:gridCol w:w="2493"/>
        <w:gridCol w:w="2493"/>
        <w:gridCol w:w="2493"/>
      </w:tblGrid>
      <w:tr w:rsidR="0032186A" w14:paraId="6C608CFF" w14:textId="77777777" w:rsidTr="00DA28CE">
        <w:tc>
          <w:tcPr>
            <w:tcW w:w="2493" w:type="dxa"/>
            <w:vAlign w:val="center"/>
          </w:tcPr>
          <w:p w14:paraId="4ACBFB60" w14:textId="77777777" w:rsidR="0032186A" w:rsidRDefault="0032186A" w:rsidP="00DA28CE">
            <w:pPr>
              <w:pStyle w:val="Corpsdetexte"/>
              <w:jc w:val="center"/>
              <w:rPr>
                <w:b/>
                <w:bCs/>
                <w:szCs w:val="20"/>
              </w:rPr>
            </w:pPr>
            <w:r>
              <w:rPr>
                <w:b/>
                <w:bCs/>
                <w:szCs w:val="20"/>
              </w:rPr>
              <w:t>Année</w:t>
            </w:r>
          </w:p>
        </w:tc>
        <w:tc>
          <w:tcPr>
            <w:tcW w:w="2493" w:type="dxa"/>
            <w:vAlign w:val="center"/>
          </w:tcPr>
          <w:p w14:paraId="0E776F70" w14:textId="77777777" w:rsidR="0032186A" w:rsidRDefault="0032186A" w:rsidP="00DA28CE">
            <w:pPr>
              <w:pStyle w:val="Corpsdetexte"/>
              <w:jc w:val="center"/>
              <w:rPr>
                <w:b/>
                <w:bCs/>
                <w:szCs w:val="20"/>
              </w:rPr>
            </w:pPr>
            <w:r>
              <w:rPr>
                <w:b/>
                <w:bCs/>
                <w:szCs w:val="20"/>
              </w:rPr>
              <w:t>Traitement de base mensuel Brut</w:t>
            </w:r>
          </w:p>
        </w:tc>
        <w:tc>
          <w:tcPr>
            <w:tcW w:w="2493" w:type="dxa"/>
            <w:vAlign w:val="center"/>
          </w:tcPr>
          <w:p w14:paraId="16FAC2BA" w14:textId="77777777" w:rsidR="0032186A" w:rsidRDefault="0032186A" w:rsidP="00DA28CE">
            <w:pPr>
              <w:pStyle w:val="Corpsdetexte"/>
              <w:jc w:val="center"/>
              <w:rPr>
                <w:b/>
                <w:bCs/>
                <w:szCs w:val="20"/>
              </w:rPr>
            </w:pPr>
            <w:r>
              <w:rPr>
                <w:b/>
                <w:bCs/>
                <w:szCs w:val="20"/>
              </w:rPr>
              <w:t>IESPE mensuelle Brut</w:t>
            </w:r>
          </w:p>
        </w:tc>
        <w:tc>
          <w:tcPr>
            <w:tcW w:w="2493" w:type="dxa"/>
            <w:vAlign w:val="center"/>
          </w:tcPr>
          <w:p w14:paraId="2D0D2566" w14:textId="77777777" w:rsidR="0032186A" w:rsidRDefault="0032186A" w:rsidP="00DA28CE">
            <w:pPr>
              <w:pStyle w:val="Corpsdetexte"/>
              <w:jc w:val="center"/>
              <w:rPr>
                <w:b/>
                <w:bCs/>
                <w:szCs w:val="20"/>
              </w:rPr>
            </w:pPr>
            <w:r>
              <w:rPr>
                <w:b/>
                <w:bCs/>
                <w:szCs w:val="20"/>
              </w:rPr>
              <w:t>Total mensuel Brut</w:t>
            </w:r>
          </w:p>
        </w:tc>
      </w:tr>
      <w:tr w:rsidR="0032186A" w:rsidRPr="00DA28CE" w14:paraId="4E61E6CF" w14:textId="77777777" w:rsidTr="00DA28CE">
        <w:tc>
          <w:tcPr>
            <w:tcW w:w="2493" w:type="dxa"/>
            <w:vAlign w:val="center"/>
          </w:tcPr>
          <w:p w14:paraId="4F0E15C3" w14:textId="77777777" w:rsidR="00DA28CE" w:rsidRDefault="00DA28CE" w:rsidP="00DA28CE">
            <w:pPr>
              <w:pStyle w:val="Corpsdetexte"/>
              <w:jc w:val="center"/>
              <w:rPr>
                <w:bCs/>
                <w:szCs w:val="20"/>
              </w:rPr>
            </w:pPr>
          </w:p>
          <w:p w14:paraId="6A65AEE2" w14:textId="77777777" w:rsidR="0032186A" w:rsidRDefault="00DA28CE" w:rsidP="00DA28CE">
            <w:pPr>
              <w:pStyle w:val="Corpsdetexte"/>
              <w:jc w:val="center"/>
              <w:rPr>
                <w:bCs/>
                <w:szCs w:val="20"/>
              </w:rPr>
            </w:pPr>
            <w:r w:rsidRPr="00DA28CE">
              <w:rPr>
                <w:bCs/>
                <w:szCs w:val="20"/>
              </w:rPr>
              <w:t>1 et 2</w:t>
            </w:r>
            <w:r w:rsidRPr="00DA28CE">
              <w:rPr>
                <w:bCs/>
                <w:szCs w:val="20"/>
                <w:vertAlign w:val="superscript"/>
              </w:rPr>
              <w:t>ième</w:t>
            </w:r>
            <w:r w:rsidRPr="00DA28CE">
              <w:rPr>
                <w:bCs/>
                <w:szCs w:val="20"/>
              </w:rPr>
              <w:t xml:space="preserve"> année</w:t>
            </w:r>
          </w:p>
          <w:p w14:paraId="59F2F429" w14:textId="77777777" w:rsidR="00DA28CE" w:rsidRPr="00DA28CE" w:rsidRDefault="00DA28CE" w:rsidP="00DA28CE">
            <w:pPr>
              <w:pStyle w:val="Corpsdetexte"/>
              <w:jc w:val="center"/>
              <w:rPr>
                <w:bCs/>
                <w:szCs w:val="20"/>
              </w:rPr>
            </w:pPr>
          </w:p>
        </w:tc>
        <w:tc>
          <w:tcPr>
            <w:tcW w:w="2493" w:type="dxa"/>
            <w:vAlign w:val="center"/>
          </w:tcPr>
          <w:p w14:paraId="588D9D7D" w14:textId="77777777" w:rsidR="00DA28CE" w:rsidRDefault="00DA28CE" w:rsidP="00DA28CE">
            <w:pPr>
              <w:pStyle w:val="Corpsdetexte"/>
              <w:jc w:val="center"/>
              <w:rPr>
                <w:bCs/>
                <w:szCs w:val="20"/>
              </w:rPr>
            </w:pPr>
          </w:p>
          <w:p w14:paraId="4BDFA105" w14:textId="77777777" w:rsidR="0032186A" w:rsidRPr="00DA28CE" w:rsidRDefault="00BE0828" w:rsidP="00DA28CE">
            <w:pPr>
              <w:pStyle w:val="Corpsdetexte"/>
              <w:jc w:val="center"/>
              <w:rPr>
                <w:bCs/>
                <w:szCs w:val="20"/>
              </w:rPr>
            </w:pPr>
            <w:r>
              <w:rPr>
                <w:bCs/>
                <w:szCs w:val="20"/>
              </w:rPr>
              <w:t>2 762.16</w:t>
            </w:r>
            <w:r w:rsidR="0032186A" w:rsidRPr="00DA28CE">
              <w:rPr>
                <w:bCs/>
                <w:szCs w:val="20"/>
              </w:rPr>
              <w:t xml:space="preserve"> €</w:t>
            </w:r>
          </w:p>
        </w:tc>
        <w:tc>
          <w:tcPr>
            <w:tcW w:w="2493" w:type="dxa"/>
            <w:vAlign w:val="center"/>
          </w:tcPr>
          <w:p w14:paraId="5D312A23" w14:textId="77777777" w:rsidR="00DA28CE" w:rsidRDefault="00DA28CE" w:rsidP="00DA28CE">
            <w:pPr>
              <w:pStyle w:val="Corpsdetexte"/>
              <w:jc w:val="center"/>
              <w:rPr>
                <w:bCs/>
                <w:szCs w:val="20"/>
              </w:rPr>
            </w:pPr>
          </w:p>
          <w:p w14:paraId="422A5B14" w14:textId="77777777" w:rsidR="0032186A" w:rsidRPr="00DA28CE" w:rsidRDefault="0032186A" w:rsidP="00DA28CE">
            <w:pPr>
              <w:pStyle w:val="Corpsdetexte"/>
              <w:jc w:val="center"/>
              <w:rPr>
                <w:bCs/>
                <w:szCs w:val="20"/>
              </w:rPr>
            </w:pPr>
            <w:r w:rsidRPr="00DA28CE">
              <w:rPr>
                <w:bCs/>
                <w:szCs w:val="20"/>
              </w:rPr>
              <w:t>1 010 €</w:t>
            </w:r>
          </w:p>
        </w:tc>
        <w:tc>
          <w:tcPr>
            <w:tcW w:w="2493" w:type="dxa"/>
            <w:vAlign w:val="center"/>
          </w:tcPr>
          <w:p w14:paraId="6DF4EA5A" w14:textId="77777777" w:rsidR="00DA28CE" w:rsidRDefault="00DA28CE" w:rsidP="00DA28CE">
            <w:pPr>
              <w:pStyle w:val="Corpsdetexte"/>
              <w:jc w:val="center"/>
              <w:rPr>
                <w:bCs/>
                <w:szCs w:val="20"/>
              </w:rPr>
            </w:pPr>
          </w:p>
          <w:p w14:paraId="67CF6199" w14:textId="77777777" w:rsidR="00BE0828" w:rsidRDefault="00BE0828" w:rsidP="00DA28CE">
            <w:pPr>
              <w:pStyle w:val="Corpsdetexte"/>
              <w:jc w:val="center"/>
              <w:rPr>
                <w:bCs/>
                <w:szCs w:val="20"/>
              </w:rPr>
            </w:pPr>
          </w:p>
          <w:p w14:paraId="19E021CC" w14:textId="77777777" w:rsidR="0032186A" w:rsidRDefault="00BE0828" w:rsidP="00DA28CE">
            <w:pPr>
              <w:pStyle w:val="Corpsdetexte"/>
              <w:jc w:val="center"/>
              <w:rPr>
                <w:bCs/>
                <w:szCs w:val="20"/>
              </w:rPr>
            </w:pPr>
            <w:r>
              <w:rPr>
                <w:bCs/>
                <w:szCs w:val="20"/>
              </w:rPr>
              <w:t>3 772.16</w:t>
            </w:r>
            <w:r w:rsidR="0032186A" w:rsidRPr="00DA28CE">
              <w:rPr>
                <w:bCs/>
                <w:szCs w:val="20"/>
              </w:rPr>
              <w:t>€</w:t>
            </w:r>
          </w:p>
          <w:p w14:paraId="467D4236" w14:textId="77777777" w:rsidR="00DA28CE" w:rsidRPr="00DA28CE" w:rsidRDefault="00DA28CE" w:rsidP="00DA28CE">
            <w:pPr>
              <w:pStyle w:val="Corpsdetexte"/>
              <w:jc w:val="center"/>
              <w:rPr>
                <w:bCs/>
                <w:szCs w:val="20"/>
              </w:rPr>
            </w:pPr>
          </w:p>
        </w:tc>
      </w:tr>
    </w:tbl>
    <w:p w14:paraId="1CE08132" w14:textId="77777777" w:rsidR="0032186A" w:rsidRDefault="0032186A" w:rsidP="0032186A">
      <w:pPr>
        <w:pStyle w:val="Corpsdetexte"/>
        <w:jc w:val="both"/>
        <w:rPr>
          <w:bCs/>
          <w:szCs w:val="20"/>
        </w:rPr>
      </w:pPr>
    </w:p>
    <w:p w14:paraId="09AA5C88" w14:textId="77777777" w:rsidR="00A52EFF" w:rsidRPr="003D4CD6" w:rsidRDefault="00A52EFF" w:rsidP="00A52EFF">
      <w:pPr>
        <w:spacing w:after="160" w:line="259" w:lineRule="auto"/>
        <w:jc w:val="both"/>
        <w:rPr>
          <w:sz w:val="20"/>
          <w:szCs w:val="20"/>
          <w:lang w:val="fr-FR"/>
        </w:rPr>
      </w:pPr>
      <w:r>
        <w:rPr>
          <w:sz w:val="20"/>
          <w:szCs w:val="20"/>
          <w:lang w:val="fr-FR"/>
        </w:rPr>
        <w:t>L</w:t>
      </w:r>
      <w:r w:rsidRPr="003D4CD6">
        <w:rPr>
          <w:sz w:val="20"/>
          <w:szCs w:val="20"/>
          <w:lang w:val="fr-FR"/>
        </w:rPr>
        <w:t>es assistants sont affectés et rémunérés pour la totalité de leur temps de travail par le CHU</w:t>
      </w:r>
      <w:r w:rsidRPr="002F4600">
        <w:rPr>
          <w:sz w:val="20"/>
          <w:szCs w:val="20"/>
          <w:lang w:val="fr-FR"/>
        </w:rPr>
        <w:t xml:space="preserve"> ou le CH</w:t>
      </w:r>
      <w:r w:rsidRPr="003D4CD6">
        <w:rPr>
          <w:sz w:val="20"/>
          <w:szCs w:val="20"/>
          <w:lang w:val="fr-FR"/>
        </w:rPr>
        <w:t xml:space="preserve"> et exercent sous forme de consultations avancées au sein de la structure de ville.</w:t>
      </w:r>
    </w:p>
    <w:p w14:paraId="67AC83E1" w14:textId="77777777" w:rsidR="00A52EFF" w:rsidRPr="003D4CD6" w:rsidRDefault="00A52EFF" w:rsidP="00A52EFF">
      <w:pPr>
        <w:spacing w:after="160" w:line="259" w:lineRule="auto"/>
        <w:jc w:val="both"/>
        <w:rPr>
          <w:sz w:val="20"/>
          <w:szCs w:val="20"/>
          <w:lang w:val="fr-FR"/>
        </w:rPr>
      </w:pPr>
      <w:r w:rsidRPr="003D4CD6">
        <w:rPr>
          <w:sz w:val="20"/>
          <w:szCs w:val="20"/>
          <w:lang w:val="fr-FR"/>
        </w:rPr>
        <w:t>Ils exercent ainsi dans la structure de ville sous leur statut d’assistant des hôpitaux, en étant rémunéré selon les émoluments d’assistant des hôpitaux, et non à titre libéral.</w:t>
      </w:r>
    </w:p>
    <w:p w14:paraId="604C2A99" w14:textId="77777777" w:rsidR="00A52EFF" w:rsidRDefault="00A52EFF" w:rsidP="00A52EFF">
      <w:pPr>
        <w:spacing w:after="160" w:line="259" w:lineRule="auto"/>
        <w:jc w:val="both"/>
        <w:rPr>
          <w:sz w:val="20"/>
          <w:szCs w:val="20"/>
          <w:lang w:val="fr-FR"/>
        </w:rPr>
      </w:pPr>
      <w:r w:rsidRPr="003D4CD6">
        <w:rPr>
          <w:sz w:val="20"/>
          <w:szCs w:val="20"/>
          <w:lang w:val="fr-FR"/>
        </w:rPr>
        <w:t>L’activité réalisée au sein de la structure de ville est considérée comme une délocalisation de l’activité hospitalière. Ni l’assistant des hôpitaux ni la structure libérale d’accueil n’encaisse donc d’honoraires.</w:t>
      </w:r>
    </w:p>
    <w:p w14:paraId="3AA93D88" w14:textId="77777777" w:rsidR="00A52EFF" w:rsidRDefault="00A52EFF" w:rsidP="0032186A">
      <w:pPr>
        <w:pStyle w:val="Corpsdetexte"/>
        <w:jc w:val="both"/>
        <w:rPr>
          <w:bCs/>
          <w:szCs w:val="20"/>
        </w:rPr>
      </w:pPr>
    </w:p>
    <w:p w14:paraId="6BC92783" w14:textId="77777777" w:rsidR="005A3618" w:rsidRDefault="005A3618" w:rsidP="0032186A">
      <w:pPr>
        <w:pStyle w:val="Corpsdetexte"/>
        <w:jc w:val="both"/>
        <w:rPr>
          <w:bCs/>
          <w:szCs w:val="20"/>
        </w:rPr>
      </w:pPr>
      <w:r w:rsidRPr="005A3618">
        <w:rPr>
          <w:b/>
          <w:bCs/>
          <w:szCs w:val="20"/>
        </w:rPr>
        <w:t>Prime d’exercice territorial (</w:t>
      </w:r>
      <w:hyperlink r:id="rId11" w:anchor=":~:text=d%27exercice%20territorial.-,Section%20II%20%3A%20Prime%20d%27exercice,territorial%20(Articles%204%20%C3%A0%208)&amp;text=La%20prime%20est%20vers%C3%A9e%20mensuellement,article%203%20du%20pr%C3%A9sent%20arr%C3%AAt%C3%A9.&amp;text=%2D%20plus%20de%204%20demi%2Djourn%C3%A9es%20%3A%201%20000%20%E2%82%AC%20brut." w:history="1">
        <w:r w:rsidRPr="00867043">
          <w:rPr>
            <w:rStyle w:val="Lienhypertexte"/>
            <w:bCs/>
            <w:i/>
            <w:szCs w:val="20"/>
          </w:rPr>
          <w:t>article 5 de l’arrêté du 14 mars 2017</w:t>
        </w:r>
      </w:hyperlink>
      <w:r w:rsidR="00867043" w:rsidRPr="00867043">
        <w:rPr>
          <w:bCs/>
          <w:i/>
          <w:szCs w:val="20"/>
        </w:rPr>
        <w:t xml:space="preserve"> modifiée par arrêté du 05/02/2022</w:t>
      </w:r>
      <w:r w:rsidRPr="005A3618">
        <w:rPr>
          <w:bCs/>
          <w:i/>
          <w:szCs w:val="20"/>
        </w:rPr>
        <w:t>)</w:t>
      </w:r>
      <w:r>
        <w:rPr>
          <w:bCs/>
          <w:szCs w:val="20"/>
        </w:rPr>
        <w:t> :</w:t>
      </w:r>
    </w:p>
    <w:p w14:paraId="1EFDD051" w14:textId="77777777" w:rsidR="005A3618" w:rsidRDefault="005A3618" w:rsidP="005A3618">
      <w:pPr>
        <w:pStyle w:val="Corpsdetexte"/>
        <w:jc w:val="both"/>
        <w:rPr>
          <w:bCs/>
          <w:szCs w:val="20"/>
        </w:rPr>
      </w:pPr>
    </w:p>
    <w:p w14:paraId="0A2D737E" w14:textId="77777777" w:rsidR="005A3618" w:rsidRDefault="005A3618" w:rsidP="005A3618">
      <w:pPr>
        <w:pStyle w:val="Corpsdetexte"/>
        <w:jc w:val="both"/>
        <w:rPr>
          <w:bCs/>
          <w:szCs w:val="20"/>
        </w:rPr>
      </w:pPr>
      <w:r w:rsidRPr="005A3618">
        <w:rPr>
          <w:bCs/>
          <w:szCs w:val="20"/>
        </w:rPr>
        <w:t>Le montant de la prime est</w:t>
      </w:r>
      <w:r>
        <w:rPr>
          <w:bCs/>
          <w:szCs w:val="20"/>
        </w:rPr>
        <w:t xml:space="preserve"> calculé mensuellement en</w:t>
      </w:r>
      <w:r w:rsidRPr="005A3618">
        <w:rPr>
          <w:bCs/>
          <w:szCs w:val="20"/>
        </w:rPr>
        <w:t xml:space="preserve"> fonction du nombre moyen hebdomadaire de demi-journées passées en dehors du site principal d'exercice du praticien ainsi que du nombre de sites d'exer</w:t>
      </w:r>
      <w:r>
        <w:rPr>
          <w:bCs/>
          <w:szCs w:val="20"/>
        </w:rPr>
        <w:t>cice différents le cas échéant.</w:t>
      </w:r>
    </w:p>
    <w:p w14:paraId="0CB467DE" w14:textId="77777777" w:rsidR="005A3618" w:rsidRDefault="005A3618" w:rsidP="005A3618">
      <w:pPr>
        <w:pStyle w:val="Corpsdetexte"/>
        <w:jc w:val="both"/>
        <w:rPr>
          <w:bCs/>
          <w:szCs w:val="20"/>
        </w:rPr>
      </w:pPr>
    </w:p>
    <w:tbl>
      <w:tblPr>
        <w:tblStyle w:val="Grilledutableau"/>
        <w:tblW w:w="0" w:type="auto"/>
        <w:tblLook w:val="04A0" w:firstRow="1" w:lastRow="0" w:firstColumn="1" w:lastColumn="0" w:noHBand="0" w:noVBand="1"/>
      </w:tblPr>
      <w:tblGrid>
        <w:gridCol w:w="4986"/>
        <w:gridCol w:w="4986"/>
      </w:tblGrid>
      <w:tr w:rsidR="005A3618" w14:paraId="05B99849" w14:textId="77777777" w:rsidTr="005A3618">
        <w:tc>
          <w:tcPr>
            <w:tcW w:w="4986" w:type="dxa"/>
          </w:tcPr>
          <w:p w14:paraId="000160E1" w14:textId="77777777" w:rsidR="005A3618" w:rsidRPr="005A3618" w:rsidRDefault="005A3618" w:rsidP="005A3618">
            <w:pPr>
              <w:pStyle w:val="Corpsdetexte"/>
              <w:jc w:val="both"/>
              <w:rPr>
                <w:b/>
                <w:bCs/>
                <w:szCs w:val="20"/>
              </w:rPr>
            </w:pPr>
            <w:r w:rsidRPr="005A3618">
              <w:rPr>
                <w:b/>
                <w:bCs/>
                <w:szCs w:val="20"/>
              </w:rPr>
              <w:t xml:space="preserve">1 demi-journée </w:t>
            </w:r>
          </w:p>
        </w:tc>
        <w:tc>
          <w:tcPr>
            <w:tcW w:w="4986" w:type="dxa"/>
          </w:tcPr>
          <w:p w14:paraId="4FEE582D" w14:textId="77777777" w:rsidR="005A3618" w:rsidRDefault="005A3618" w:rsidP="005A3618">
            <w:pPr>
              <w:pStyle w:val="Corpsdetexte"/>
              <w:jc w:val="both"/>
              <w:rPr>
                <w:bCs/>
                <w:szCs w:val="20"/>
              </w:rPr>
            </w:pPr>
            <w:r>
              <w:rPr>
                <w:bCs/>
                <w:szCs w:val="20"/>
              </w:rPr>
              <w:t xml:space="preserve">250 € brut </w:t>
            </w:r>
          </w:p>
        </w:tc>
      </w:tr>
      <w:tr w:rsidR="005A3618" w14:paraId="1816E836" w14:textId="77777777" w:rsidTr="005A3618">
        <w:tc>
          <w:tcPr>
            <w:tcW w:w="4986" w:type="dxa"/>
          </w:tcPr>
          <w:p w14:paraId="3C13D301" w14:textId="77777777" w:rsidR="005A3618" w:rsidRPr="005A3618" w:rsidRDefault="005A3618" w:rsidP="005A3618">
            <w:pPr>
              <w:pStyle w:val="Corpsdetexte"/>
              <w:jc w:val="both"/>
              <w:rPr>
                <w:b/>
                <w:bCs/>
                <w:szCs w:val="20"/>
              </w:rPr>
            </w:pPr>
            <w:r w:rsidRPr="005A3618">
              <w:rPr>
                <w:b/>
                <w:bCs/>
                <w:szCs w:val="20"/>
              </w:rPr>
              <w:t>+ d’1 demi-journée à 3 demi-journées inclus</w:t>
            </w:r>
          </w:p>
        </w:tc>
        <w:tc>
          <w:tcPr>
            <w:tcW w:w="4986" w:type="dxa"/>
          </w:tcPr>
          <w:p w14:paraId="5F92A6D3" w14:textId="77777777" w:rsidR="005A3618" w:rsidRDefault="005A3618" w:rsidP="005A3618">
            <w:pPr>
              <w:pStyle w:val="Corpsdetexte"/>
              <w:jc w:val="both"/>
              <w:rPr>
                <w:bCs/>
                <w:szCs w:val="20"/>
              </w:rPr>
            </w:pPr>
            <w:r>
              <w:rPr>
                <w:bCs/>
                <w:szCs w:val="20"/>
              </w:rPr>
              <w:t xml:space="preserve">450 € Brut </w:t>
            </w:r>
          </w:p>
        </w:tc>
      </w:tr>
      <w:tr w:rsidR="005A3618" w14:paraId="67B0874E" w14:textId="77777777" w:rsidTr="005A3618">
        <w:tc>
          <w:tcPr>
            <w:tcW w:w="4986" w:type="dxa"/>
          </w:tcPr>
          <w:p w14:paraId="41D72740" w14:textId="77777777" w:rsidR="005A3618" w:rsidRPr="005A3618" w:rsidRDefault="005A3618" w:rsidP="005A3618">
            <w:pPr>
              <w:pStyle w:val="Corpsdetexte"/>
              <w:jc w:val="both"/>
              <w:rPr>
                <w:b/>
                <w:bCs/>
                <w:szCs w:val="20"/>
              </w:rPr>
            </w:pPr>
            <w:r w:rsidRPr="005A3618">
              <w:rPr>
                <w:b/>
                <w:bCs/>
                <w:szCs w:val="20"/>
              </w:rPr>
              <w:t xml:space="preserve">+ de 3 demi-journées à 4 demi-journées inclus </w:t>
            </w:r>
          </w:p>
        </w:tc>
        <w:tc>
          <w:tcPr>
            <w:tcW w:w="4986" w:type="dxa"/>
          </w:tcPr>
          <w:p w14:paraId="76098E99" w14:textId="77777777" w:rsidR="005A3618" w:rsidRDefault="005A3618" w:rsidP="005A3618">
            <w:pPr>
              <w:pStyle w:val="Corpsdetexte"/>
              <w:jc w:val="both"/>
              <w:rPr>
                <w:bCs/>
                <w:szCs w:val="20"/>
              </w:rPr>
            </w:pPr>
            <w:r>
              <w:rPr>
                <w:bCs/>
                <w:szCs w:val="20"/>
              </w:rPr>
              <w:t xml:space="preserve">700 € Brut </w:t>
            </w:r>
          </w:p>
        </w:tc>
      </w:tr>
      <w:tr w:rsidR="005A3618" w14:paraId="45CF63FD" w14:textId="77777777" w:rsidTr="005A3618">
        <w:tc>
          <w:tcPr>
            <w:tcW w:w="4986" w:type="dxa"/>
          </w:tcPr>
          <w:p w14:paraId="7A43A1C2" w14:textId="77777777" w:rsidR="005A3618" w:rsidRPr="005A3618" w:rsidRDefault="005A3618" w:rsidP="005A3618">
            <w:pPr>
              <w:pStyle w:val="Corpsdetexte"/>
              <w:jc w:val="both"/>
              <w:rPr>
                <w:b/>
                <w:bCs/>
                <w:szCs w:val="20"/>
              </w:rPr>
            </w:pPr>
            <w:r w:rsidRPr="005A3618">
              <w:rPr>
                <w:b/>
                <w:bCs/>
                <w:szCs w:val="20"/>
              </w:rPr>
              <w:t>4 demi-journées sur au moins 2 sites géographique différents du site principal </w:t>
            </w:r>
          </w:p>
        </w:tc>
        <w:tc>
          <w:tcPr>
            <w:tcW w:w="4986" w:type="dxa"/>
          </w:tcPr>
          <w:p w14:paraId="0FA19B4C" w14:textId="77777777" w:rsidR="005A3618" w:rsidRDefault="005A3618" w:rsidP="005A3618">
            <w:pPr>
              <w:pStyle w:val="Corpsdetexte"/>
              <w:jc w:val="both"/>
              <w:rPr>
                <w:bCs/>
                <w:szCs w:val="20"/>
              </w:rPr>
            </w:pPr>
            <w:r>
              <w:rPr>
                <w:bCs/>
                <w:szCs w:val="20"/>
              </w:rPr>
              <w:t xml:space="preserve">1 000 € Brut </w:t>
            </w:r>
          </w:p>
        </w:tc>
      </w:tr>
      <w:tr w:rsidR="005A3618" w14:paraId="0AC4A45B" w14:textId="77777777" w:rsidTr="005A3618">
        <w:tc>
          <w:tcPr>
            <w:tcW w:w="4986" w:type="dxa"/>
          </w:tcPr>
          <w:p w14:paraId="403BAF49" w14:textId="77777777" w:rsidR="005A3618" w:rsidRPr="005A3618" w:rsidRDefault="005A3618" w:rsidP="005A3618">
            <w:pPr>
              <w:pStyle w:val="Corpsdetexte"/>
              <w:jc w:val="both"/>
              <w:rPr>
                <w:b/>
                <w:bCs/>
                <w:szCs w:val="20"/>
              </w:rPr>
            </w:pPr>
            <w:r w:rsidRPr="005A3618">
              <w:rPr>
                <w:b/>
                <w:bCs/>
                <w:szCs w:val="20"/>
              </w:rPr>
              <w:t xml:space="preserve">+ de 4 demi-journées </w:t>
            </w:r>
          </w:p>
        </w:tc>
        <w:tc>
          <w:tcPr>
            <w:tcW w:w="4986" w:type="dxa"/>
          </w:tcPr>
          <w:p w14:paraId="4CC05D35" w14:textId="77777777" w:rsidR="005A3618" w:rsidRDefault="005A3618" w:rsidP="005A3618">
            <w:pPr>
              <w:pStyle w:val="Corpsdetexte"/>
              <w:jc w:val="both"/>
              <w:rPr>
                <w:bCs/>
                <w:szCs w:val="20"/>
              </w:rPr>
            </w:pPr>
            <w:r>
              <w:rPr>
                <w:bCs/>
                <w:szCs w:val="20"/>
              </w:rPr>
              <w:t>1 000 € Brut</w:t>
            </w:r>
          </w:p>
        </w:tc>
      </w:tr>
    </w:tbl>
    <w:p w14:paraId="34E1F254" w14:textId="77777777" w:rsidR="005A3618" w:rsidRDefault="005A3618" w:rsidP="005A3618">
      <w:pPr>
        <w:pStyle w:val="Corpsdetexte"/>
        <w:jc w:val="both"/>
        <w:rPr>
          <w:bCs/>
          <w:szCs w:val="20"/>
        </w:rPr>
      </w:pPr>
      <w:r w:rsidRPr="005A3618">
        <w:rPr>
          <w:bCs/>
          <w:szCs w:val="20"/>
        </w:rPr>
        <w:br/>
        <w:t xml:space="preserve">Pour être éligible à la prime, l'activité partagée du praticien est réalisée sur un site distant de 20 km au moins de son site principal d'exercice. </w:t>
      </w:r>
    </w:p>
    <w:p w14:paraId="5B1A4DFD" w14:textId="77777777" w:rsidR="005A3618" w:rsidRPr="005A3618" w:rsidRDefault="005A3618" w:rsidP="005A3618">
      <w:pPr>
        <w:pStyle w:val="Corpsdetexte"/>
        <w:jc w:val="both"/>
        <w:rPr>
          <w:bCs/>
          <w:szCs w:val="20"/>
        </w:rPr>
      </w:pPr>
    </w:p>
    <w:p w14:paraId="50ADCDB4" w14:textId="776ED81F" w:rsidR="002F4600" w:rsidRDefault="005A3618" w:rsidP="00A52EFF">
      <w:pPr>
        <w:pStyle w:val="Corpsdetexte"/>
        <w:jc w:val="both"/>
        <w:rPr>
          <w:bCs/>
          <w:szCs w:val="20"/>
        </w:rPr>
      </w:pPr>
      <w:r w:rsidRPr="005A3618">
        <w:rPr>
          <w:bCs/>
          <w:szCs w:val="20"/>
        </w:rPr>
        <w:t>Le directeur général de l'agence régionale de santé peut, sur proposition du directeur de l'établissement dans lequel le praticien est nommé ou recruté, autoriser le versement de la prime en cas d'activité partagée entre des entités juridiques différentes distantes de moins de 20 km ou pour des unités sanitaires implantées en milieu pénitentiaire</w:t>
      </w:r>
      <w:r>
        <w:rPr>
          <w:bCs/>
          <w:szCs w:val="20"/>
        </w:rPr>
        <w:t xml:space="preserve">. </w:t>
      </w:r>
    </w:p>
    <w:p w14:paraId="524BB290" w14:textId="77777777" w:rsidR="00A52EFF" w:rsidRPr="00A52EFF" w:rsidRDefault="00A52EFF" w:rsidP="00A52EFF">
      <w:pPr>
        <w:pStyle w:val="Corpsdetexte"/>
        <w:jc w:val="both"/>
        <w:rPr>
          <w:bCs/>
          <w:szCs w:val="20"/>
        </w:rPr>
      </w:pPr>
    </w:p>
    <w:p w14:paraId="0009E9F4" w14:textId="77777777" w:rsidR="002F4600" w:rsidRPr="002F4600" w:rsidRDefault="002F4600" w:rsidP="002F4600">
      <w:pPr>
        <w:spacing w:after="160" w:line="259" w:lineRule="auto"/>
        <w:jc w:val="both"/>
        <w:rPr>
          <w:sz w:val="20"/>
          <w:szCs w:val="20"/>
          <w:lang w:val="fr-FR"/>
        </w:rPr>
      </w:pPr>
    </w:p>
    <w:p w14:paraId="6FBD6D5C" w14:textId="77777777" w:rsidR="00867043" w:rsidRDefault="00867043" w:rsidP="0032186A">
      <w:pPr>
        <w:pStyle w:val="Corpsdetexte"/>
        <w:jc w:val="both"/>
        <w:rPr>
          <w:bCs/>
          <w:szCs w:val="20"/>
        </w:rPr>
      </w:pPr>
    </w:p>
    <w:p w14:paraId="511965EC" w14:textId="77777777" w:rsidR="00867043" w:rsidRDefault="00867043" w:rsidP="0032186A">
      <w:pPr>
        <w:pStyle w:val="Corpsdetexte"/>
        <w:jc w:val="both"/>
        <w:rPr>
          <w:b/>
          <w:bCs/>
          <w:szCs w:val="20"/>
        </w:rPr>
      </w:pPr>
      <w:r w:rsidRPr="00867043">
        <w:rPr>
          <w:b/>
          <w:bCs/>
          <w:szCs w:val="20"/>
        </w:rPr>
        <w:lastRenderedPageBreak/>
        <w:t xml:space="preserve">Financement pour la structure ambulatoire : </w:t>
      </w:r>
    </w:p>
    <w:p w14:paraId="5667E02E" w14:textId="77777777" w:rsidR="00867043" w:rsidRDefault="00867043" w:rsidP="0032186A">
      <w:pPr>
        <w:pStyle w:val="Corpsdetexte"/>
        <w:jc w:val="both"/>
        <w:rPr>
          <w:b/>
          <w:bCs/>
          <w:szCs w:val="20"/>
        </w:rPr>
      </w:pPr>
    </w:p>
    <w:p w14:paraId="6A102F8E" w14:textId="77777777" w:rsidR="005C1E67" w:rsidRDefault="00867043" w:rsidP="0032186A">
      <w:pPr>
        <w:pStyle w:val="Corpsdetexte"/>
        <w:jc w:val="both"/>
        <w:rPr>
          <w:bCs/>
          <w:szCs w:val="20"/>
        </w:rPr>
      </w:pPr>
      <w:r w:rsidRPr="005C1E67">
        <w:rPr>
          <w:bCs/>
          <w:szCs w:val="20"/>
        </w:rPr>
        <w:t xml:space="preserve">Valorisation du dispositif dans l’accord </w:t>
      </w:r>
      <w:r w:rsidR="005C1E67" w:rsidRPr="005C1E67">
        <w:rPr>
          <w:bCs/>
          <w:szCs w:val="20"/>
        </w:rPr>
        <w:t>cadre</w:t>
      </w:r>
      <w:r w:rsidRPr="005C1E67">
        <w:rPr>
          <w:bCs/>
          <w:szCs w:val="20"/>
        </w:rPr>
        <w:t xml:space="preserve"> interprofessionnel (ACI) des MSP et des CDS (option à la mission socle « accès aux soins »</w:t>
      </w:r>
      <w:r w:rsidR="005C1E67" w:rsidRPr="005C1E67">
        <w:rPr>
          <w:bCs/>
          <w:szCs w:val="20"/>
        </w:rPr>
        <w:t>.</w:t>
      </w:r>
    </w:p>
    <w:p w14:paraId="373E1A62" w14:textId="77777777" w:rsidR="005C1E67" w:rsidRDefault="005C1E67" w:rsidP="0032186A">
      <w:pPr>
        <w:pStyle w:val="Corpsdetexte"/>
        <w:jc w:val="both"/>
        <w:rPr>
          <w:bCs/>
          <w:szCs w:val="20"/>
        </w:rPr>
      </w:pPr>
    </w:p>
    <w:p w14:paraId="6486F392" w14:textId="77777777" w:rsidR="005C1E67" w:rsidRDefault="005C1E67" w:rsidP="0032186A">
      <w:pPr>
        <w:pStyle w:val="Corpsdetexte"/>
        <w:jc w:val="both"/>
        <w:rPr>
          <w:bCs/>
          <w:i/>
          <w:szCs w:val="20"/>
        </w:rPr>
      </w:pPr>
      <w:r>
        <w:rPr>
          <w:bCs/>
          <w:szCs w:val="20"/>
        </w:rPr>
        <w:t xml:space="preserve">Prise en charge par les deux structures des coûts financiers de fonctionnement du dispositif </w:t>
      </w:r>
      <w:r w:rsidRPr="005C1E67">
        <w:rPr>
          <w:bCs/>
          <w:i/>
          <w:szCs w:val="20"/>
        </w:rPr>
        <w:t xml:space="preserve">(matériel médical spécifique, médicaments, matériel informatique, secrétariat, loyer, frais de déplacement…). </w:t>
      </w:r>
    </w:p>
    <w:p w14:paraId="6859D335" w14:textId="77777777" w:rsidR="002F4600" w:rsidRDefault="002F4600" w:rsidP="0032186A">
      <w:pPr>
        <w:pStyle w:val="Corpsdetexte"/>
        <w:jc w:val="both"/>
        <w:rPr>
          <w:bCs/>
          <w:i/>
          <w:szCs w:val="20"/>
        </w:rPr>
      </w:pPr>
    </w:p>
    <w:p w14:paraId="37F62763" w14:textId="0B3C4521" w:rsidR="002F4600" w:rsidRDefault="002F4600" w:rsidP="0032186A">
      <w:pPr>
        <w:pStyle w:val="Corpsdetexte"/>
        <w:jc w:val="both"/>
        <w:rPr>
          <w:b/>
          <w:iCs/>
          <w:szCs w:val="20"/>
        </w:rPr>
      </w:pPr>
      <w:r w:rsidRPr="002F4600">
        <w:rPr>
          <w:b/>
          <w:iCs/>
          <w:szCs w:val="20"/>
        </w:rPr>
        <w:t>Responsabilité</w:t>
      </w:r>
      <w:r>
        <w:rPr>
          <w:b/>
          <w:iCs/>
          <w:szCs w:val="20"/>
        </w:rPr>
        <w:t> :</w:t>
      </w:r>
    </w:p>
    <w:p w14:paraId="5DC40852" w14:textId="77777777" w:rsidR="002F4600" w:rsidRDefault="002F4600" w:rsidP="0032186A">
      <w:pPr>
        <w:pStyle w:val="Corpsdetexte"/>
        <w:jc w:val="both"/>
        <w:rPr>
          <w:b/>
          <w:iCs/>
          <w:szCs w:val="20"/>
        </w:rPr>
      </w:pPr>
    </w:p>
    <w:p w14:paraId="37F67781" w14:textId="43B3E5EB" w:rsidR="002F4600" w:rsidRDefault="002F4600" w:rsidP="0032186A">
      <w:pPr>
        <w:pStyle w:val="Corpsdetexte"/>
        <w:jc w:val="both"/>
        <w:rPr>
          <w:b/>
          <w:iCs/>
          <w:szCs w:val="20"/>
        </w:rPr>
      </w:pPr>
      <w:r>
        <w:rPr>
          <w:szCs w:val="20"/>
        </w:rPr>
        <w:t>L</w:t>
      </w:r>
      <w:r w:rsidRPr="003D4CD6">
        <w:rPr>
          <w:szCs w:val="20"/>
        </w:rPr>
        <w:t xml:space="preserve">’assistant exerce sur son statut d’assistant comme une consultation externe de l’hôpital, le régime de responsabilité est le même que s’il exerçait à l’hôpital. C’est donc la responsabilité du CHU </w:t>
      </w:r>
      <w:r w:rsidRPr="002F4600">
        <w:rPr>
          <w:szCs w:val="20"/>
        </w:rPr>
        <w:t xml:space="preserve">ou du CH </w:t>
      </w:r>
      <w:r w:rsidRPr="003D4CD6">
        <w:rPr>
          <w:szCs w:val="20"/>
        </w:rPr>
        <w:t>qui sera engagée le cas échéant, sauf en cas de faute personnelle détachable du service. </w:t>
      </w:r>
    </w:p>
    <w:p w14:paraId="00B800BD" w14:textId="77777777" w:rsidR="002F4600" w:rsidRPr="002F4600" w:rsidRDefault="002F4600" w:rsidP="0032186A">
      <w:pPr>
        <w:pStyle w:val="Corpsdetexte"/>
        <w:jc w:val="both"/>
        <w:rPr>
          <w:b/>
          <w:iCs/>
          <w:szCs w:val="20"/>
        </w:rPr>
      </w:pPr>
    </w:p>
    <w:p w14:paraId="283B1D4E" w14:textId="77777777" w:rsidR="005C1E67" w:rsidRDefault="005C1E67" w:rsidP="0032186A">
      <w:pPr>
        <w:pStyle w:val="Corpsdetexte"/>
        <w:jc w:val="both"/>
        <w:rPr>
          <w:b/>
          <w:bCs/>
          <w:szCs w:val="20"/>
        </w:rPr>
      </w:pPr>
    </w:p>
    <w:p w14:paraId="7EDFF713" w14:textId="77777777" w:rsidR="00412E35" w:rsidRPr="00412E35" w:rsidRDefault="00412E35" w:rsidP="00412E35">
      <w:pPr>
        <w:pStyle w:val="Corpsdetexte"/>
        <w:numPr>
          <w:ilvl w:val="0"/>
          <w:numId w:val="21"/>
        </w:numPr>
        <w:shd w:val="clear" w:color="auto" w:fill="EAF1DD" w:themeFill="accent3" w:themeFillTint="33"/>
        <w:jc w:val="both"/>
        <w:rPr>
          <w:b/>
          <w:bCs/>
          <w:sz w:val="22"/>
          <w:szCs w:val="20"/>
        </w:rPr>
      </w:pPr>
      <w:r w:rsidRPr="00412E35">
        <w:rPr>
          <w:b/>
          <w:bCs/>
          <w:sz w:val="22"/>
          <w:szCs w:val="20"/>
        </w:rPr>
        <w:t xml:space="preserve">Modalités de candidature : </w:t>
      </w:r>
    </w:p>
    <w:p w14:paraId="71168784" w14:textId="77777777" w:rsidR="00412E35" w:rsidRDefault="00412E35" w:rsidP="00412E35">
      <w:pPr>
        <w:pStyle w:val="Corpsdetexte"/>
        <w:jc w:val="both"/>
        <w:rPr>
          <w:b/>
          <w:bCs/>
          <w:szCs w:val="20"/>
        </w:rPr>
      </w:pPr>
    </w:p>
    <w:p w14:paraId="0859B749" w14:textId="77777777" w:rsidR="00882110" w:rsidRPr="000F3676" w:rsidRDefault="00412E35" w:rsidP="00882110">
      <w:pPr>
        <w:pStyle w:val="Corpsdetexte"/>
        <w:jc w:val="both"/>
        <w:rPr>
          <w:szCs w:val="20"/>
        </w:rPr>
      </w:pPr>
      <w:r w:rsidRPr="00882110">
        <w:rPr>
          <w:bCs/>
          <w:szCs w:val="20"/>
        </w:rPr>
        <w:t xml:space="preserve">Un dossier de candidature </w:t>
      </w:r>
      <w:r w:rsidR="000F3676">
        <w:rPr>
          <w:bCs/>
          <w:szCs w:val="20"/>
        </w:rPr>
        <w:t xml:space="preserve">doit être complété via la plateforme : </w:t>
      </w:r>
      <w:hyperlink r:id="rId12" w:history="1">
        <w:r w:rsidR="000F3676" w:rsidRPr="000F3676">
          <w:rPr>
            <w:rStyle w:val="Lienhypertexte"/>
            <w:bCs/>
            <w:szCs w:val="20"/>
          </w:rPr>
          <w:t>Mes démarches simplifiés.</w:t>
        </w:r>
      </w:hyperlink>
      <w:r w:rsidR="000F3676">
        <w:rPr>
          <w:bCs/>
          <w:szCs w:val="20"/>
        </w:rPr>
        <w:t xml:space="preserve"> </w:t>
      </w:r>
    </w:p>
    <w:p w14:paraId="74D92762" w14:textId="77777777" w:rsidR="00CB2A51" w:rsidRDefault="00CB2A51" w:rsidP="00882110">
      <w:pPr>
        <w:pStyle w:val="Corpsdetexte"/>
        <w:jc w:val="both"/>
        <w:rPr>
          <w:bCs/>
          <w:szCs w:val="20"/>
        </w:rPr>
      </w:pPr>
    </w:p>
    <w:p w14:paraId="49C8DFD3" w14:textId="77777777" w:rsidR="00CB2A51" w:rsidRPr="00694677" w:rsidRDefault="00694677" w:rsidP="00694677">
      <w:pPr>
        <w:pStyle w:val="Corpsdetexte"/>
        <w:numPr>
          <w:ilvl w:val="0"/>
          <w:numId w:val="21"/>
        </w:numPr>
        <w:shd w:val="clear" w:color="auto" w:fill="EAF1DD" w:themeFill="accent3" w:themeFillTint="33"/>
        <w:jc w:val="both"/>
        <w:rPr>
          <w:b/>
          <w:bCs/>
          <w:sz w:val="22"/>
          <w:szCs w:val="20"/>
        </w:rPr>
      </w:pPr>
      <w:r w:rsidRPr="00694677">
        <w:rPr>
          <w:b/>
          <w:bCs/>
          <w:sz w:val="22"/>
          <w:szCs w:val="20"/>
        </w:rPr>
        <w:t xml:space="preserve">Cas particuliers : </w:t>
      </w:r>
    </w:p>
    <w:p w14:paraId="3A3F79FE" w14:textId="77777777" w:rsidR="00CB2A51" w:rsidRDefault="00CB2A51" w:rsidP="00882110">
      <w:pPr>
        <w:pStyle w:val="Corpsdetexte"/>
        <w:jc w:val="both"/>
        <w:rPr>
          <w:bCs/>
          <w:szCs w:val="20"/>
        </w:rPr>
      </w:pPr>
    </w:p>
    <w:p w14:paraId="3037E508" w14:textId="77777777" w:rsidR="00AC591C" w:rsidRDefault="00AC591C" w:rsidP="00AC591C">
      <w:pPr>
        <w:pStyle w:val="Corpsdetexte"/>
        <w:numPr>
          <w:ilvl w:val="0"/>
          <w:numId w:val="6"/>
        </w:numPr>
        <w:jc w:val="both"/>
        <w:rPr>
          <w:b/>
          <w:bCs/>
          <w:szCs w:val="20"/>
        </w:rPr>
      </w:pPr>
      <w:r w:rsidRPr="00AC591C">
        <w:rPr>
          <w:b/>
          <w:bCs/>
          <w:szCs w:val="20"/>
        </w:rPr>
        <w:t>Emplacement d’un candidat suite à un désistement :</w:t>
      </w:r>
    </w:p>
    <w:p w14:paraId="6B5A42FD" w14:textId="77777777" w:rsidR="00AC591C" w:rsidRDefault="00AC591C" w:rsidP="00AC591C">
      <w:pPr>
        <w:pStyle w:val="Corpsdetexte"/>
        <w:jc w:val="both"/>
        <w:rPr>
          <w:b/>
          <w:bCs/>
          <w:szCs w:val="20"/>
        </w:rPr>
      </w:pPr>
    </w:p>
    <w:p w14:paraId="00C8D103" w14:textId="77777777" w:rsidR="00AC591C" w:rsidRDefault="00AC591C" w:rsidP="00AC591C">
      <w:pPr>
        <w:pStyle w:val="Corpsdetexte"/>
        <w:jc w:val="both"/>
        <w:rPr>
          <w:bCs/>
          <w:szCs w:val="20"/>
        </w:rPr>
      </w:pPr>
      <w:r w:rsidRPr="00AC591C">
        <w:rPr>
          <w:bCs/>
          <w:szCs w:val="20"/>
        </w:rPr>
        <w:t xml:space="preserve">Possibilité de proposer dans </w:t>
      </w:r>
      <w:r w:rsidRPr="00AC591C">
        <w:rPr>
          <w:bCs/>
          <w:szCs w:val="20"/>
          <w:u w:val="single"/>
        </w:rPr>
        <w:t>les meilleurs délais</w:t>
      </w:r>
      <w:r w:rsidRPr="00AC591C">
        <w:rPr>
          <w:bCs/>
          <w:szCs w:val="20"/>
        </w:rPr>
        <w:t xml:space="preserve"> un nouveau candidat. A ce </w:t>
      </w:r>
      <w:r>
        <w:rPr>
          <w:bCs/>
          <w:szCs w:val="20"/>
        </w:rPr>
        <w:t xml:space="preserve">titre, l’établissement de santé </w:t>
      </w:r>
      <w:r w:rsidRPr="00AC591C">
        <w:rPr>
          <w:bCs/>
          <w:szCs w:val="20"/>
        </w:rPr>
        <w:t>recruteur devra transmettre à l’ARS pour examen</w:t>
      </w:r>
      <w:r>
        <w:rPr>
          <w:bCs/>
          <w:szCs w:val="20"/>
        </w:rPr>
        <w:t xml:space="preserve"> les 5 pièces obligatoires, et :</w:t>
      </w:r>
    </w:p>
    <w:p w14:paraId="3306FF30" w14:textId="77777777" w:rsidR="00AC591C" w:rsidRPr="00AC591C" w:rsidRDefault="00AC591C" w:rsidP="00AC591C">
      <w:pPr>
        <w:pStyle w:val="Corpsdetexte"/>
        <w:ind w:left="720"/>
        <w:jc w:val="both"/>
        <w:rPr>
          <w:bCs/>
          <w:szCs w:val="20"/>
        </w:rPr>
      </w:pPr>
      <w:r>
        <w:rPr>
          <w:bCs/>
          <w:szCs w:val="20"/>
        </w:rPr>
        <w:t xml:space="preserve">- un courrier expliquant le </w:t>
      </w:r>
      <w:r w:rsidRPr="00AC591C">
        <w:rPr>
          <w:bCs/>
          <w:szCs w:val="20"/>
        </w:rPr>
        <w:t>motif de désistement de l’ancien candidat</w:t>
      </w:r>
    </w:p>
    <w:p w14:paraId="2E789687" w14:textId="77777777" w:rsidR="00AC591C" w:rsidRPr="00AC591C" w:rsidRDefault="00AC591C" w:rsidP="00AC591C">
      <w:pPr>
        <w:pStyle w:val="Corpsdetexte"/>
        <w:ind w:left="720"/>
        <w:jc w:val="both"/>
        <w:rPr>
          <w:bCs/>
          <w:szCs w:val="20"/>
        </w:rPr>
      </w:pPr>
      <w:r>
        <w:rPr>
          <w:bCs/>
          <w:szCs w:val="20"/>
        </w:rPr>
        <w:t xml:space="preserve">- </w:t>
      </w:r>
      <w:r w:rsidRPr="00AC591C">
        <w:rPr>
          <w:bCs/>
          <w:szCs w:val="20"/>
        </w:rPr>
        <w:t>l’établissement de santé recruteur devra préciser si le changement de candidat a des</w:t>
      </w:r>
      <w:r>
        <w:rPr>
          <w:bCs/>
          <w:szCs w:val="20"/>
        </w:rPr>
        <w:t xml:space="preserve"> </w:t>
      </w:r>
      <w:r w:rsidRPr="000A1E39">
        <w:rPr>
          <w:bCs/>
          <w:szCs w:val="20"/>
        </w:rPr>
        <w:t>répercussions ou non sur le projet médical initial et sur les quotités de travail</w:t>
      </w:r>
    </w:p>
    <w:p w14:paraId="63337FF6" w14:textId="77777777" w:rsidR="00AC591C" w:rsidRPr="00AC591C" w:rsidRDefault="00AC591C" w:rsidP="00AC591C">
      <w:pPr>
        <w:pStyle w:val="Corpsdetexte"/>
        <w:jc w:val="both"/>
        <w:rPr>
          <w:b/>
          <w:bCs/>
          <w:szCs w:val="20"/>
        </w:rPr>
      </w:pPr>
    </w:p>
    <w:p w14:paraId="49C0EA6E" w14:textId="77777777" w:rsidR="00AC591C" w:rsidRDefault="00AC591C" w:rsidP="00AC591C">
      <w:pPr>
        <w:pStyle w:val="Corpsdetexte"/>
        <w:numPr>
          <w:ilvl w:val="0"/>
          <w:numId w:val="6"/>
        </w:numPr>
        <w:jc w:val="both"/>
        <w:rPr>
          <w:b/>
          <w:bCs/>
          <w:szCs w:val="20"/>
        </w:rPr>
      </w:pPr>
      <w:r w:rsidRPr="00AC591C">
        <w:rPr>
          <w:b/>
          <w:bCs/>
          <w:szCs w:val="20"/>
        </w:rPr>
        <w:t>Report de prise de fonction du candidat retenu :</w:t>
      </w:r>
    </w:p>
    <w:p w14:paraId="08EE48E5" w14:textId="77777777" w:rsidR="00AC591C" w:rsidRDefault="00AC591C" w:rsidP="00AC591C">
      <w:pPr>
        <w:pStyle w:val="Corpsdetexte"/>
        <w:jc w:val="both"/>
        <w:rPr>
          <w:b/>
          <w:bCs/>
          <w:szCs w:val="20"/>
        </w:rPr>
      </w:pPr>
    </w:p>
    <w:p w14:paraId="386F1EE2" w14:textId="77777777" w:rsidR="00AC591C" w:rsidRPr="000F3676" w:rsidRDefault="00AC591C" w:rsidP="00AC591C">
      <w:pPr>
        <w:pStyle w:val="Corpsdetexte"/>
        <w:jc w:val="both"/>
        <w:rPr>
          <w:bCs/>
          <w:color w:val="FF0000"/>
          <w:szCs w:val="20"/>
        </w:rPr>
      </w:pPr>
      <w:r w:rsidRPr="000F3676">
        <w:rPr>
          <w:bCs/>
          <w:color w:val="FF0000"/>
          <w:szCs w:val="20"/>
        </w:rPr>
        <w:t xml:space="preserve">Informer immédiatement l’ARS des motifs de report de prise de poste, à défaut, il n’y aura pas de financement. </w:t>
      </w:r>
    </w:p>
    <w:p w14:paraId="1A008597" w14:textId="77777777" w:rsidR="00AC591C" w:rsidRDefault="00AC591C" w:rsidP="00AC591C">
      <w:pPr>
        <w:pStyle w:val="Corpsdetexte"/>
        <w:jc w:val="both"/>
        <w:rPr>
          <w:b/>
          <w:bCs/>
          <w:color w:val="FF0000"/>
          <w:szCs w:val="20"/>
        </w:rPr>
      </w:pPr>
    </w:p>
    <w:p w14:paraId="2111C241" w14:textId="77777777" w:rsidR="00AC591C" w:rsidRPr="00AC591C" w:rsidRDefault="00AC591C" w:rsidP="00AC591C">
      <w:pPr>
        <w:pStyle w:val="Corpsdetexte"/>
        <w:jc w:val="both"/>
        <w:rPr>
          <w:bCs/>
          <w:szCs w:val="20"/>
        </w:rPr>
      </w:pPr>
      <w:r w:rsidRPr="00AC591C">
        <w:rPr>
          <w:bCs/>
          <w:szCs w:val="20"/>
        </w:rPr>
        <w:t xml:space="preserve">De manière exceptionnelle, l’ARS peut accorder des reports de prise de fonction au cas par cas et pour des durées de report faibles. </w:t>
      </w:r>
    </w:p>
    <w:sectPr w:rsidR="00AC591C" w:rsidRPr="00AC591C" w:rsidSect="002C08FC">
      <w:headerReference w:type="default" r:id="rId13"/>
      <w:footerReference w:type="default" r:id="rId14"/>
      <w:type w:val="continuous"/>
      <w:pgSz w:w="11910" w:h="16840"/>
      <w:pgMar w:top="966"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6D909" w14:textId="77777777" w:rsidR="00A51BA0" w:rsidRDefault="00A51BA0" w:rsidP="0079276E">
      <w:r>
        <w:separator/>
      </w:r>
    </w:p>
  </w:endnote>
  <w:endnote w:type="continuationSeparator" w:id="0">
    <w:p w14:paraId="228F451F" w14:textId="77777777" w:rsidR="00A51BA0" w:rsidRDefault="00A51BA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66390638"/>
      <w:docPartObj>
        <w:docPartGallery w:val="Page Numbers (Bottom of Page)"/>
        <w:docPartUnique/>
      </w:docPartObj>
    </w:sdtPr>
    <w:sdtEndPr>
      <w:rPr>
        <w:rStyle w:val="Numrodepage"/>
      </w:rPr>
    </w:sdtEndPr>
    <w:sdtContent>
      <w:p w14:paraId="247BB9BE"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91749B"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147D" w14:textId="77777777" w:rsidR="003E64C4" w:rsidRPr="00F558D1" w:rsidRDefault="00401845" w:rsidP="003E64C4">
    <w:pPr>
      <w:pStyle w:val="Pieddepage"/>
      <w:rPr>
        <w:color w:val="7F7F7F" w:themeColor="text1" w:themeTint="80"/>
        <w:sz w:val="14"/>
        <w:szCs w:val="14"/>
        <w:lang w:val="fr-FR"/>
      </w:rPr>
    </w:pPr>
    <w:r>
      <w:rPr>
        <w:color w:val="7F7F7F" w:themeColor="text1" w:themeTint="80"/>
        <w:sz w:val="14"/>
        <w:szCs w:val="14"/>
        <w:lang w:val="fr-FR"/>
      </w:rPr>
      <w:t>ARS Centre-Val de Loire</w:t>
    </w:r>
  </w:p>
  <w:p w14:paraId="2FB406CF" w14:textId="77777777" w:rsidR="003E64C4" w:rsidRPr="00F558D1" w:rsidRDefault="003E64C4" w:rsidP="003E64C4">
    <w:pPr>
      <w:pStyle w:val="Pieddepage"/>
      <w:rPr>
        <w:color w:val="7F7F7F" w:themeColor="text1" w:themeTint="80"/>
        <w:sz w:val="14"/>
        <w:szCs w:val="14"/>
        <w:lang w:val="fr-FR"/>
      </w:rPr>
    </w:pPr>
    <w:r w:rsidRPr="00F558D1">
      <w:rPr>
        <w:color w:val="7F7F7F" w:themeColor="text1" w:themeTint="80"/>
        <w:sz w:val="14"/>
        <w:szCs w:val="14"/>
        <w:lang w:val="fr-FR"/>
      </w:rPr>
      <w:t xml:space="preserve">Cité Coligny – 131 rue du faubourg </w:t>
    </w:r>
    <w:proofErr w:type="spellStart"/>
    <w:r w:rsidRPr="00F558D1">
      <w:rPr>
        <w:color w:val="7F7F7F" w:themeColor="text1" w:themeTint="80"/>
        <w:sz w:val="14"/>
        <w:szCs w:val="14"/>
        <w:lang w:val="fr-FR"/>
      </w:rPr>
      <w:t>Bannier</w:t>
    </w:r>
    <w:proofErr w:type="spellEnd"/>
    <w:r w:rsidRPr="00F558D1">
      <w:rPr>
        <w:color w:val="7F7F7F" w:themeColor="text1" w:themeTint="80"/>
        <w:sz w:val="14"/>
        <w:szCs w:val="14"/>
        <w:lang w:val="fr-FR"/>
      </w:rPr>
      <w:t xml:space="preserve"> – BP 74409 – 45044 Orléans Cedex 1</w:t>
    </w:r>
  </w:p>
  <w:p w14:paraId="2875EF5E" w14:textId="77777777" w:rsidR="0079276E" w:rsidRDefault="003E64C4" w:rsidP="003E64C4">
    <w:pPr>
      <w:pStyle w:val="Pieddepage"/>
      <w:rPr>
        <w:color w:val="7F7F7F" w:themeColor="text1" w:themeTint="80"/>
        <w:sz w:val="14"/>
        <w:szCs w:val="14"/>
      </w:rPr>
    </w:pPr>
    <w:r w:rsidRPr="00F558D1">
      <w:rPr>
        <w:color w:val="7F7F7F" w:themeColor="text1" w:themeTint="80"/>
        <w:sz w:val="14"/>
        <w:szCs w:val="14"/>
      </w:rPr>
      <w:t>Standard : 02 38 77 32 32 / Fax : 02 38 77 47 85</w:t>
    </w:r>
    <w:r w:rsidR="00A1755C">
      <w:rPr>
        <w:color w:val="7F7F7F" w:themeColor="text1" w:themeTint="80"/>
        <w:sz w:val="14"/>
        <w:szCs w:val="14"/>
      </w:rPr>
      <w:t xml:space="preserve"> </w:t>
    </w:r>
  </w:p>
  <w:p w14:paraId="4F6CBD84" w14:textId="77777777" w:rsidR="00A1755C" w:rsidRPr="00A1755C" w:rsidRDefault="00A1755C" w:rsidP="00A1755C">
    <w:pPr>
      <w:pStyle w:val="Pieddepage"/>
      <w:jc w:val="right"/>
      <w:rPr>
        <w:b/>
        <w:color w:val="7F7F7F" w:themeColor="text1" w:themeTint="80"/>
        <w:sz w:val="14"/>
        <w:szCs w:val="14"/>
      </w:rPr>
    </w:pPr>
    <w:r>
      <w:rPr>
        <w:b/>
        <w:color w:val="7F7F7F" w:themeColor="text1" w:themeTint="80"/>
        <w:sz w:val="14"/>
        <w:szCs w:val="14"/>
      </w:rPr>
      <w:t>Contact</w:t>
    </w:r>
    <w:r w:rsidRPr="00A1755C">
      <w:rPr>
        <w:b/>
        <w:color w:val="7F7F7F" w:themeColor="text1" w:themeTint="80"/>
        <w:sz w:val="14"/>
        <w:szCs w:val="14"/>
      </w:rPr>
      <w:t xml:space="preserve">: </w:t>
    </w:r>
    <w:hyperlink r:id="rId1" w:history="1">
      <w:r w:rsidRPr="00D83D27">
        <w:rPr>
          <w:rStyle w:val="Lienhypertexte"/>
          <w:b/>
          <w:sz w:val="14"/>
          <w:szCs w:val="14"/>
        </w:rPr>
        <w:t>ars-cvl-paps@ars.sante.fr</w:t>
      </w:r>
    </w:hyperlink>
    <w:r>
      <w:rPr>
        <w:b/>
        <w:color w:val="7F7F7F" w:themeColor="text1" w:themeTint="8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5E062" w14:textId="77777777" w:rsidR="002F4FA1" w:rsidRPr="00887705" w:rsidRDefault="002F4FA1" w:rsidP="002F4FA1">
    <w:pPr>
      <w:pStyle w:val="Pieddepage"/>
      <w:rPr>
        <w:color w:val="808080" w:themeColor="background1" w:themeShade="80"/>
        <w:sz w:val="14"/>
        <w:szCs w:val="14"/>
        <w:lang w:val="fr-FR"/>
      </w:rPr>
    </w:pPr>
    <w:r w:rsidRPr="00887705">
      <w:rPr>
        <w:color w:val="808080" w:themeColor="background1" w:themeShade="80"/>
        <w:sz w:val="14"/>
        <w:szCs w:val="14"/>
        <w:lang w:val="fr-FR"/>
      </w:rPr>
      <w:t>ARS Centre-Val de Loire  – Délégation départementale du Loiret</w:t>
    </w:r>
  </w:p>
  <w:sdt>
    <w:sdtPr>
      <w:rPr>
        <w:rStyle w:val="Numrodepage"/>
        <w:sz w:val="14"/>
        <w:szCs w:val="14"/>
      </w:rPr>
      <w:id w:val="-438065073"/>
      <w:docPartObj>
        <w:docPartGallery w:val="Page Numbers (Bottom of Page)"/>
        <w:docPartUnique/>
      </w:docPartObj>
    </w:sdtPr>
    <w:sdtEndPr>
      <w:rPr>
        <w:rStyle w:val="Numrodepage"/>
      </w:rPr>
    </w:sdtEndPr>
    <w:sdtContent>
      <w:p w14:paraId="640E1100" w14:textId="77777777" w:rsidR="002F4FA1" w:rsidRPr="00936E45" w:rsidRDefault="002F4FA1" w:rsidP="002F4FA1">
        <w:pPr>
          <w:pStyle w:val="Pieddepage"/>
          <w:framePr w:wrap="none" w:vAnchor="text" w:hAnchor="page" w:x="10857" w:y="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0F3676">
          <w:rPr>
            <w:rStyle w:val="Numrodepage"/>
            <w:noProof/>
            <w:sz w:val="14"/>
            <w:szCs w:val="14"/>
            <w:lang w:val="fr-FR"/>
          </w:rPr>
          <w:t>2</w:t>
        </w:r>
        <w:r w:rsidRPr="002C53DF">
          <w:rPr>
            <w:rStyle w:val="Numrodepage"/>
            <w:sz w:val="14"/>
            <w:szCs w:val="14"/>
          </w:rPr>
          <w:fldChar w:fldCharType="end"/>
        </w:r>
      </w:p>
    </w:sdtContent>
  </w:sdt>
  <w:p w14:paraId="0AAF2184" w14:textId="77777777" w:rsidR="002F4FA1" w:rsidRPr="00887705" w:rsidRDefault="002F4FA1" w:rsidP="002F4FA1">
    <w:pPr>
      <w:pStyle w:val="Pieddepage"/>
      <w:rPr>
        <w:color w:val="808080" w:themeColor="background1" w:themeShade="80"/>
        <w:sz w:val="14"/>
        <w:szCs w:val="14"/>
        <w:lang w:val="fr-FR"/>
      </w:rPr>
    </w:pPr>
    <w:r w:rsidRPr="00887705">
      <w:rPr>
        <w:color w:val="808080" w:themeColor="background1" w:themeShade="80"/>
        <w:sz w:val="14"/>
        <w:szCs w:val="14"/>
        <w:lang w:val="fr-FR"/>
      </w:rPr>
      <w:t xml:space="preserve">Cité Coligny – 131 rue du faubourg </w:t>
    </w:r>
    <w:proofErr w:type="spellStart"/>
    <w:r w:rsidRPr="00887705">
      <w:rPr>
        <w:color w:val="808080" w:themeColor="background1" w:themeShade="80"/>
        <w:sz w:val="14"/>
        <w:szCs w:val="14"/>
        <w:lang w:val="fr-FR"/>
      </w:rPr>
      <w:t>Bannier</w:t>
    </w:r>
    <w:proofErr w:type="spellEnd"/>
    <w:r w:rsidRPr="00887705">
      <w:rPr>
        <w:color w:val="808080" w:themeColor="background1" w:themeShade="80"/>
        <w:sz w:val="14"/>
        <w:szCs w:val="14"/>
        <w:lang w:val="fr-FR"/>
      </w:rPr>
      <w:t xml:space="preserve"> – BP 74409 – 45044 Orléans Cedex 1</w:t>
    </w:r>
  </w:p>
  <w:p w14:paraId="7BA589BC" w14:textId="77777777" w:rsidR="002C53DF" w:rsidRPr="002F4FA1" w:rsidRDefault="002F4FA1">
    <w:pPr>
      <w:pStyle w:val="Pieddepage"/>
      <w:rPr>
        <w:color w:val="808080" w:themeColor="background1" w:themeShade="80"/>
        <w:sz w:val="14"/>
        <w:szCs w:val="14"/>
      </w:rPr>
    </w:pPr>
    <w:r w:rsidRPr="00887705">
      <w:rPr>
        <w:color w:val="808080" w:themeColor="background1" w:themeShade="80"/>
        <w:sz w:val="14"/>
        <w:szCs w:val="14"/>
      </w:rPr>
      <w:t>Standard : 02 38 77 32 32 / Fax : 02 38 77 47 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C769" w14:textId="77777777" w:rsidR="00A51BA0" w:rsidRDefault="00A51BA0" w:rsidP="0079276E">
      <w:r>
        <w:separator/>
      </w:r>
    </w:p>
  </w:footnote>
  <w:footnote w:type="continuationSeparator" w:id="0">
    <w:p w14:paraId="04E63887" w14:textId="77777777" w:rsidR="00A51BA0" w:rsidRDefault="00A51BA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AADD" w14:textId="77777777" w:rsidR="00992DBA" w:rsidRDefault="00F3035F" w:rsidP="002C08FC">
    <w:pPr>
      <w:pStyle w:val="En-tte"/>
      <w:tabs>
        <w:tab w:val="clear" w:pos="4513"/>
      </w:tabs>
      <w:ind w:right="59"/>
      <w:jc w:val="right"/>
      <w:rPr>
        <w:b/>
        <w:bCs/>
        <w:sz w:val="24"/>
        <w:szCs w:val="24"/>
      </w:rPr>
    </w:pPr>
    <w:r>
      <w:rPr>
        <w:b/>
        <w:bCs/>
        <w:noProof/>
        <w:sz w:val="24"/>
        <w:szCs w:val="24"/>
        <w:lang w:val="fr-FR" w:eastAsia="fr-FR"/>
      </w:rPr>
      <w:drawing>
        <wp:anchor distT="0" distB="0" distL="114300" distR="114300" simplePos="0" relativeHeight="251663358" behindDoc="1" locked="0" layoutInCell="1" allowOverlap="1" wp14:anchorId="6B07C475" wp14:editId="2408A2A2">
          <wp:simplePos x="0" y="0"/>
          <wp:positionH relativeFrom="column">
            <wp:posOffset>-50165</wp:posOffset>
          </wp:positionH>
          <wp:positionV relativeFrom="paragraph">
            <wp:posOffset>-46990</wp:posOffset>
          </wp:positionV>
          <wp:extent cx="2849245" cy="1176020"/>
          <wp:effectExtent l="0" t="0" r="0" b="0"/>
          <wp:wrapTight wrapText="bothSides">
            <wp:wrapPolygon edited="0">
              <wp:start x="433" y="2099"/>
              <wp:lineTo x="433" y="18544"/>
              <wp:lineTo x="1444" y="19244"/>
              <wp:lineTo x="9098" y="19944"/>
              <wp:lineTo x="9676" y="19944"/>
              <wp:lineTo x="18197" y="19244"/>
              <wp:lineTo x="21374" y="17844"/>
              <wp:lineTo x="21229" y="12946"/>
              <wp:lineTo x="20363" y="11197"/>
              <wp:lineTo x="17908" y="8397"/>
              <wp:lineTo x="20940" y="7348"/>
              <wp:lineTo x="20074" y="4199"/>
              <wp:lineTo x="9676" y="2099"/>
              <wp:lineTo x="433" y="2099"/>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png"/>
                  <pic:cNvPicPr/>
                </pic:nvPicPr>
                <pic:blipFill>
                  <a:blip r:embed="rId1">
                    <a:extLst>
                      <a:ext uri="{28A0092B-C50C-407E-A947-70E740481C1C}">
                        <a14:useLocalDpi xmlns:a14="http://schemas.microsoft.com/office/drawing/2010/main" val="0"/>
                      </a:ext>
                    </a:extLst>
                  </a:blip>
                  <a:stretch>
                    <a:fillRect/>
                  </a:stretch>
                </pic:blipFill>
                <pic:spPr>
                  <a:xfrm>
                    <a:off x="0" y="0"/>
                    <a:ext cx="2849245" cy="1176020"/>
                  </a:xfrm>
                  <a:prstGeom prst="rect">
                    <a:avLst/>
                  </a:prstGeom>
                </pic:spPr>
              </pic:pic>
            </a:graphicData>
          </a:graphic>
          <wp14:sizeRelH relativeFrom="page">
            <wp14:pctWidth>0</wp14:pctWidth>
          </wp14:sizeRelH>
          <wp14:sizeRelV relativeFrom="page">
            <wp14:pctHeight>0</wp14:pctHeight>
          </wp14:sizeRelV>
        </wp:anchor>
      </w:drawing>
    </w:r>
    <w:r w:rsidR="00992DBA">
      <w:rPr>
        <w:b/>
        <w:bCs/>
        <w:sz w:val="24"/>
        <w:szCs w:val="24"/>
      </w:rPr>
      <w:tab/>
    </w:r>
  </w:p>
  <w:p w14:paraId="5387E488" w14:textId="77777777" w:rsidR="00992DBA" w:rsidRDefault="00992DBA" w:rsidP="002C08FC">
    <w:pPr>
      <w:pStyle w:val="En-tte"/>
      <w:tabs>
        <w:tab w:val="clear" w:pos="4513"/>
      </w:tabs>
      <w:ind w:right="59"/>
      <w:jc w:val="right"/>
      <w:rPr>
        <w:b/>
        <w:bCs/>
        <w:sz w:val="24"/>
        <w:szCs w:val="24"/>
      </w:rPr>
    </w:pPr>
  </w:p>
  <w:p w14:paraId="1F57262D" w14:textId="77777777" w:rsidR="0079276E" w:rsidRDefault="0079276E">
    <w:pPr>
      <w:pStyle w:val="En-tte"/>
      <w:rPr>
        <w:lang w:val="fr-FR"/>
      </w:rPr>
    </w:pPr>
  </w:p>
  <w:p w14:paraId="6D604DFB" w14:textId="77777777" w:rsidR="002C08FC" w:rsidRDefault="002C08FC">
    <w:pPr>
      <w:pStyle w:val="En-tte"/>
      <w:rPr>
        <w:lang w:val="fr-FR"/>
      </w:rPr>
    </w:pPr>
  </w:p>
  <w:p w14:paraId="229C9AE2" w14:textId="77777777" w:rsidR="002C08FC" w:rsidRDefault="002C08FC">
    <w:pPr>
      <w:pStyle w:val="En-tte"/>
      <w:rPr>
        <w:lang w:val="fr-FR"/>
      </w:rPr>
    </w:pPr>
  </w:p>
  <w:p w14:paraId="6CEE9DF3" w14:textId="77777777" w:rsidR="002C08FC" w:rsidRPr="00936E45" w:rsidRDefault="002C08FC">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3C7F"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38AC"/>
    <w:multiLevelType w:val="hybridMultilevel"/>
    <w:tmpl w:val="8F7055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28256E"/>
    <w:multiLevelType w:val="hybridMultilevel"/>
    <w:tmpl w:val="2BDC14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106F59"/>
    <w:multiLevelType w:val="hybridMultilevel"/>
    <w:tmpl w:val="06149024"/>
    <w:lvl w:ilvl="0" w:tplc="14EE4FCE">
      <w:start w:val="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626D96"/>
    <w:multiLevelType w:val="hybridMultilevel"/>
    <w:tmpl w:val="AD040C3A"/>
    <w:lvl w:ilvl="0" w:tplc="01A43F56">
      <w:start w:val="201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A479D"/>
    <w:multiLevelType w:val="hybridMultilevel"/>
    <w:tmpl w:val="E5BC1C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F2D02"/>
    <w:multiLevelType w:val="hybridMultilevel"/>
    <w:tmpl w:val="6C9C0C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8" w15:restartNumberingAfterBreak="0">
    <w:nsid w:val="3D774A77"/>
    <w:multiLevelType w:val="hybridMultilevel"/>
    <w:tmpl w:val="DD1E4788"/>
    <w:lvl w:ilvl="0" w:tplc="14EE4FCE">
      <w:start w:val="8"/>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C708E5"/>
    <w:multiLevelType w:val="hybridMultilevel"/>
    <w:tmpl w:val="4B602E60"/>
    <w:lvl w:ilvl="0" w:tplc="6506EC56">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523F93"/>
    <w:multiLevelType w:val="hybridMultilevel"/>
    <w:tmpl w:val="D7A8FC2C"/>
    <w:lvl w:ilvl="0" w:tplc="69A6741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E556FC"/>
    <w:multiLevelType w:val="hybridMultilevel"/>
    <w:tmpl w:val="BDA890B4"/>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680A23"/>
    <w:multiLevelType w:val="hybridMultilevel"/>
    <w:tmpl w:val="057807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F301E3"/>
    <w:multiLevelType w:val="hybridMultilevel"/>
    <w:tmpl w:val="791EF1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2C03B6"/>
    <w:multiLevelType w:val="hybridMultilevel"/>
    <w:tmpl w:val="03B48DBE"/>
    <w:lvl w:ilvl="0" w:tplc="EC68DCF4">
      <w:start w:val="5"/>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A61CE5"/>
    <w:multiLevelType w:val="hybridMultilevel"/>
    <w:tmpl w:val="75524A2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805B5A"/>
    <w:multiLevelType w:val="hybridMultilevel"/>
    <w:tmpl w:val="1D7A445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9F459D"/>
    <w:multiLevelType w:val="hybridMultilevel"/>
    <w:tmpl w:val="9DBCC2DA"/>
    <w:lvl w:ilvl="0" w:tplc="98FC92D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396AF2"/>
    <w:multiLevelType w:val="hybridMultilevel"/>
    <w:tmpl w:val="4E72C9DA"/>
    <w:lvl w:ilvl="0" w:tplc="089A69A4">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C5134E"/>
    <w:multiLevelType w:val="hybridMultilevel"/>
    <w:tmpl w:val="093A5D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A3E5F0D"/>
    <w:multiLevelType w:val="hybridMultilevel"/>
    <w:tmpl w:val="C0C245EE"/>
    <w:lvl w:ilvl="0" w:tplc="040C000B">
      <w:start w:val="1"/>
      <w:numFmt w:val="bullet"/>
      <w:lvlText w:val=""/>
      <w:lvlJc w:val="left"/>
      <w:pPr>
        <w:ind w:left="720" w:hanging="360"/>
      </w:pPr>
      <w:rPr>
        <w:rFonts w:ascii="Wingdings" w:hAnsi="Wingdings" w:hint="default"/>
      </w:rPr>
    </w:lvl>
    <w:lvl w:ilvl="1" w:tplc="0A829B16">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9695762">
    <w:abstractNumId w:val="7"/>
  </w:num>
  <w:num w:numId="2" w16cid:durableId="262615920">
    <w:abstractNumId w:val="12"/>
  </w:num>
  <w:num w:numId="3" w16cid:durableId="1077946970">
    <w:abstractNumId w:val="14"/>
  </w:num>
  <w:num w:numId="4" w16cid:durableId="404500280">
    <w:abstractNumId w:val="4"/>
  </w:num>
  <w:num w:numId="5" w16cid:durableId="381442611">
    <w:abstractNumId w:val="5"/>
  </w:num>
  <w:num w:numId="6" w16cid:durableId="1947536674">
    <w:abstractNumId w:val="22"/>
  </w:num>
  <w:num w:numId="7" w16cid:durableId="119569342">
    <w:abstractNumId w:val="15"/>
  </w:num>
  <w:num w:numId="8" w16cid:durableId="135462958">
    <w:abstractNumId w:val="11"/>
  </w:num>
  <w:num w:numId="9" w16cid:durableId="170726655">
    <w:abstractNumId w:val="2"/>
  </w:num>
  <w:num w:numId="10" w16cid:durableId="622347915">
    <w:abstractNumId w:val="3"/>
  </w:num>
  <w:num w:numId="11" w16cid:durableId="726491531">
    <w:abstractNumId w:val="10"/>
  </w:num>
  <w:num w:numId="12" w16cid:durableId="268860265">
    <w:abstractNumId w:val="20"/>
  </w:num>
  <w:num w:numId="13" w16cid:durableId="552237420">
    <w:abstractNumId w:val="19"/>
  </w:num>
  <w:num w:numId="14" w16cid:durableId="1458599131">
    <w:abstractNumId w:val="9"/>
  </w:num>
  <w:num w:numId="15" w16cid:durableId="1014381288">
    <w:abstractNumId w:val="6"/>
  </w:num>
  <w:num w:numId="16" w16cid:durableId="101457022">
    <w:abstractNumId w:val="18"/>
  </w:num>
  <w:num w:numId="17" w16cid:durableId="132528138">
    <w:abstractNumId w:val="21"/>
  </w:num>
  <w:num w:numId="18" w16cid:durableId="754400063">
    <w:abstractNumId w:val="1"/>
  </w:num>
  <w:num w:numId="19" w16cid:durableId="1291281921">
    <w:abstractNumId w:val="17"/>
  </w:num>
  <w:num w:numId="20" w16cid:durableId="1576472621">
    <w:abstractNumId w:val="13"/>
  </w:num>
  <w:num w:numId="21" w16cid:durableId="1635678907">
    <w:abstractNumId w:val="0"/>
  </w:num>
  <w:num w:numId="22" w16cid:durableId="14037429">
    <w:abstractNumId w:val="16"/>
  </w:num>
  <w:num w:numId="23" w16cid:durableId="7486214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formatting="1" w:enforcement="0"/>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705"/>
    <w:rsid w:val="00015220"/>
    <w:rsid w:val="00046EC0"/>
    <w:rsid w:val="00055DC6"/>
    <w:rsid w:val="00077989"/>
    <w:rsid w:val="000924D0"/>
    <w:rsid w:val="00094E05"/>
    <w:rsid w:val="000A1E39"/>
    <w:rsid w:val="000F1F9C"/>
    <w:rsid w:val="000F3676"/>
    <w:rsid w:val="00161EAA"/>
    <w:rsid w:val="001649B7"/>
    <w:rsid w:val="001C79E5"/>
    <w:rsid w:val="001E2183"/>
    <w:rsid w:val="00202B2A"/>
    <w:rsid w:val="002319B6"/>
    <w:rsid w:val="00290741"/>
    <w:rsid w:val="00290CE8"/>
    <w:rsid w:val="00293194"/>
    <w:rsid w:val="00293388"/>
    <w:rsid w:val="002C08FC"/>
    <w:rsid w:val="002C53DF"/>
    <w:rsid w:val="002E43F3"/>
    <w:rsid w:val="002F4600"/>
    <w:rsid w:val="002F4FA1"/>
    <w:rsid w:val="00313F52"/>
    <w:rsid w:val="0032186A"/>
    <w:rsid w:val="003240AC"/>
    <w:rsid w:val="00327D49"/>
    <w:rsid w:val="003436C8"/>
    <w:rsid w:val="0037457A"/>
    <w:rsid w:val="003A0914"/>
    <w:rsid w:val="003C1031"/>
    <w:rsid w:val="003D1DE1"/>
    <w:rsid w:val="003E64C4"/>
    <w:rsid w:val="003F234E"/>
    <w:rsid w:val="00401845"/>
    <w:rsid w:val="00406DBC"/>
    <w:rsid w:val="00412E35"/>
    <w:rsid w:val="004166C6"/>
    <w:rsid w:val="0042101F"/>
    <w:rsid w:val="00445B82"/>
    <w:rsid w:val="00445FB1"/>
    <w:rsid w:val="004529DA"/>
    <w:rsid w:val="004608CD"/>
    <w:rsid w:val="004936AF"/>
    <w:rsid w:val="004B516C"/>
    <w:rsid w:val="004C7346"/>
    <w:rsid w:val="004D0D46"/>
    <w:rsid w:val="004D1619"/>
    <w:rsid w:val="004E7415"/>
    <w:rsid w:val="005213C6"/>
    <w:rsid w:val="00533FB0"/>
    <w:rsid w:val="005972E3"/>
    <w:rsid w:val="005A3618"/>
    <w:rsid w:val="005B6F0D"/>
    <w:rsid w:val="005C1E67"/>
    <w:rsid w:val="005C4846"/>
    <w:rsid w:val="005F2E98"/>
    <w:rsid w:val="00601526"/>
    <w:rsid w:val="00611999"/>
    <w:rsid w:val="00625D93"/>
    <w:rsid w:val="00651077"/>
    <w:rsid w:val="00694677"/>
    <w:rsid w:val="006D0F4C"/>
    <w:rsid w:val="006D502A"/>
    <w:rsid w:val="007647FC"/>
    <w:rsid w:val="0079276E"/>
    <w:rsid w:val="007B30E4"/>
    <w:rsid w:val="007B6F11"/>
    <w:rsid w:val="00807CCD"/>
    <w:rsid w:val="0081060F"/>
    <w:rsid w:val="00813E0D"/>
    <w:rsid w:val="00851458"/>
    <w:rsid w:val="00867043"/>
    <w:rsid w:val="00882110"/>
    <w:rsid w:val="00887705"/>
    <w:rsid w:val="008963DA"/>
    <w:rsid w:val="008A73FE"/>
    <w:rsid w:val="008E794F"/>
    <w:rsid w:val="00910398"/>
    <w:rsid w:val="00917934"/>
    <w:rsid w:val="00917D30"/>
    <w:rsid w:val="00930B38"/>
    <w:rsid w:val="00936712"/>
    <w:rsid w:val="00936E45"/>
    <w:rsid w:val="00937F85"/>
    <w:rsid w:val="00941377"/>
    <w:rsid w:val="009732A9"/>
    <w:rsid w:val="009828C1"/>
    <w:rsid w:val="00992DBA"/>
    <w:rsid w:val="009C0C96"/>
    <w:rsid w:val="009F56A7"/>
    <w:rsid w:val="00A030DE"/>
    <w:rsid w:val="00A10A83"/>
    <w:rsid w:val="00A1486F"/>
    <w:rsid w:val="00A1755C"/>
    <w:rsid w:val="00A30EA6"/>
    <w:rsid w:val="00A32755"/>
    <w:rsid w:val="00A42B6F"/>
    <w:rsid w:val="00A51BA0"/>
    <w:rsid w:val="00A52EFF"/>
    <w:rsid w:val="00A72DA5"/>
    <w:rsid w:val="00A84CCB"/>
    <w:rsid w:val="00AC591C"/>
    <w:rsid w:val="00AE48FE"/>
    <w:rsid w:val="00AF13F4"/>
    <w:rsid w:val="00AF1D5B"/>
    <w:rsid w:val="00B143AD"/>
    <w:rsid w:val="00B234AF"/>
    <w:rsid w:val="00B46AF7"/>
    <w:rsid w:val="00B474DE"/>
    <w:rsid w:val="00B55B58"/>
    <w:rsid w:val="00B82885"/>
    <w:rsid w:val="00B86D34"/>
    <w:rsid w:val="00BE0828"/>
    <w:rsid w:val="00C144F1"/>
    <w:rsid w:val="00C37845"/>
    <w:rsid w:val="00C66322"/>
    <w:rsid w:val="00C67312"/>
    <w:rsid w:val="00C7451D"/>
    <w:rsid w:val="00CB2A51"/>
    <w:rsid w:val="00CB4FEF"/>
    <w:rsid w:val="00CD5E65"/>
    <w:rsid w:val="00D10C52"/>
    <w:rsid w:val="00D66068"/>
    <w:rsid w:val="00DA2090"/>
    <w:rsid w:val="00DA28CE"/>
    <w:rsid w:val="00DD50D6"/>
    <w:rsid w:val="00DF1DBF"/>
    <w:rsid w:val="00E01FCD"/>
    <w:rsid w:val="00E05336"/>
    <w:rsid w:val="00E669F0"/>
    <w:rsid w:val="00EB2FC3"/>
    <w:rsid w:val="00EE15FE"/>
    <w:rsid w:val="00EF5CF0"/>
    <w:rsid w:val="00F071FF"/>
    <w:rsid w:val="00F22CF7"/>
    <w:rsid w:val="00F25DA3"/>
    <w:rsid w:val="00F261BB"/>
    <w:rsid w:val="00F3035F"/>
    <w:rsid w:val="00F558D1"/>
    <w:rsid w:val="00F7722A"/>
    <w:rsid w:val="00FA4A49"/>
    <w:rsid w:val="00FC0352"/>
    <w:rsid w:val="00FD69DB"/>
    <w:rsid w:val="00FE5D6F"/>
    <w:rsid w:val="00FE69B7"/>
    <w:rsid w:val="00FF6E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005845E9"/>
  <w15:docId w15:val="{A1DB8967-FBAC-421E-A50E-1142510D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4FEF"/>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34"/>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0000FF"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65F91" w:themeColor="accent1" w:themeShade="BF"/>
      <w:sz w:val="26"/>
      <w:szCs w:val="26"/>
    </w:rPr>
  </w:style>
  <w:style w:type="table" w:styleId="Grilledutableau">
    <w:name w:val="Table Grid"/>
    <w:basedOn w:val="TableauNormal"/>
    <w:uiPriority w:val="5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F81BD"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paragraph" w:styleId="Textedebulles">
    <w:name w:val="Balloon Text"/>
    <w:basedOn w:val="Normal"/>
    <w:link w:val="TextedebullesCar"/>
    <w:uiPriority w:val="99"/>
    <w:semiHidden/>
    <w:unhideWhenUsed/>
    <w:rsid w:val="007B30E4"/>
    <w:rPr>
      <w:rFonts w:ascii="Tahoma" w:hAnsi="Tahoma" w:cs="Tahoma"/>
      <w:sz w:val="16"/>
      <w:szCs w:val="16"/>
    </w:rPr>
  </w:style>
  <w:style w:type="character" w:customStyle="1" w:styleId="TextedebullesCar">
    <w:name w:val="Texte de bulles Car"/>
    <w:basedOn w:val="Policepardfaut"/>
    <w:link w:val="Textedebulles"/>
    <w:uiPriority w:val="99"/>
    <w:semiHidden/>
    <w:rsid w:val="007B30E4"/>
    <w:rPr>
      <w:rFonts w:ascii="Tahoma" w:hAnsi="Tahoma" w:cs="Tahoma"/>
      <w:sz w:val="16"/>
      <w:szCs w:val="16"/>
    </w:rPr>
  </w:style>
  <w:style w:type="table" w:customStyle="1" w:styleId="Grilledutableau1">
    <w:name w:val="Grille du tableau1"/>
    <w:basedOn w:val="TableauNormal"/>
    <w:next w:val="Grilledutableau"/>
    <w:uiPriority w:val="59"/>
    <w:rsid w:val="00DF1DBF"/>
    <w:pPr>
      <w:widowControl/>
      <w:autoSpaceDE/>
      <w:autoSpaceDN/>
    </w:pPr>
    <w:rPr>
      <w:rFonts w:ascii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DF1DBF"/>
    <w:pPr>
      <w:widowControl/>
      <w:autoSpaceDE/>
      <w:autoSpaceDN/>
    </w:pPr>
    <w:rPr>
      <w:rFonts w:ascii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B86D34"/>
    <w:pPr>
      <w:widowControl/>
      <w:autoSpaceDE/>
      <w:autoSpaceDN/>
    </w:pPr>
    <w:rPr>
      <w:rFonts w:ascii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B86D34"/>
    <w:pPr>
      <w:widowControl/>
      <w:autoSpaceDE/>
      <w:autoSpaceDN/>
    </w:pPr>
    <w:rPr>
      <w:rFonts w:ascii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E01FCD"/>
    <w:pPr>
      <w:widowControl/>
      <w:autoSpaceDE/>
      <w:autoSpaceDN/>
    </w:pPr>
    <w:rPr>
      <w:rFonts w:ascii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8E794F"/>
    <w:pPr>
      <w:widowControl/>
      <w:autoSpaceDE/>
      <w:autoSpaceDN/>
    </w:pPr>
    <w:rPr>
      <w:rFonts w:asciiTheme="minorHAnsi" w:hAnsiTheme="minorHAnsi" w:cstheme="minorBidi"/>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402">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912003787">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212375875">
      <w:bodyDiv w:val="1"/>
      <w:marLeft w:val="0"/>
      <w:marRight w:val="0"/>
      <w:marTop w:val="0"/>
      <w:marBottom w:val="0"/>
      <w:divBdr>
        <w:top w:val="none" w:sz="0" w:space="0" w:color="auto"/>
        <w:left w:val="none" w:sz="0" w:space="0" w:color="auto"/>
        <w:bottom w:val="none" w:sz="0" w:space="0" w:color="auto"/>
        <w:right w:val="none" w:sz="0" w:space="0" w:color="auto"/>
      </w:divBdr>
    </w:div>
    <w:div w:id="1811971889">
      <w:bodyDiv w:val="1"/>
      <w:marLeft w:val="0"/>
      <w:marRight w:val="0"/>
      <w:marTop w:val="0"/>
      <w:marBottom w:val="0"/>
      <w:divBdr>
        <w:top w:val="none" w:sz="0" w:space="0" w:color="auto"/>
        <w:left w:val="none" w:sz="0" w:space="0" w:color="auto"/>
        <w:bottom w:val="none" w:sz="0" w:space="0" w:color="auto"/>
        <w:right w:val="none" w:sz="0" w:space="0" w:color="auto"/>
      </w:divBdr>
    </w:div>
    <w:div w:id="1972635988">
      <w:bodyDiv w:val="1"/>
      <w:marLeft w:val="0"/>
      <w:marRight w:val="0"/>
      <w:marTop w:val="0"/>
      <w:marBottom w:val="0"/>
      <w:divBdr>
        <w:top w:val="none" w:sz="0" w:space="0" w:color="auto"/>
        <w:left w:val="none" w:sz="0" w:space="0" w:color="auto"/>
        <w:bottom w:val="none" w:sz="0" w:space="0" w:color="auto"/>
        <w:right w:val="none" w:sz="0" w:space="0" w:color="auto"/>
      </w:divBdr>
    </w:div>
    <w:div w:id="21388408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marches-simplifiees.fr/commencer/candidature-aux-postes-d-assistants-specialistes-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3418748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ars-cvl-paps@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F3D7D-9041-4E53-819E-C0288795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1108</Words>
  <Characters>6098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schatelin</dc:creator>
  <cp:lastModifiedBy>DHORDAIN, Mélanie (ARS-CVL/DOS/DAGPPS)</cp:lastModifiedBy>
  <cp:revision>34</cp:revision>
  <cp:lastPrinted>2022-08-10T13:07:00Z</cp:lastPrinted>
  <dcterms:created xsi:type="dcterms:W3CDTF">2022-08-11T08:25:00Z</dcterms:created>
  <dcterms:modified xsi:type="dcterms:W3CDTF">2026-02-13T14:19:00Z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MSIP_Label_3094c1fb-3db8-4cce-b079-9b022302847f_Enabled">
    <vt:lpwstr>true</vt:lpwstr>
  </property>
  <property fmtid="{D5CDD505-2E9C-101B-9397-08002B2CF9AE}" pid="6" name="MSIP_Label_3094c1fb-3db8-4cce-b079-9b022302847f_SetDate">
    <vt:lpwstr>2026-01-06T11:12:36Z</vt:lpwstr>
  </property>
  <property fmtid="{D5CDD505-2E9C-101B-9397-08002B2CF9AE}" pid="7" name="MSIP_Label_3094c1fb-3db8-4cce-b079-9b022302847f_Method">
    <vt:lpwstr>Standard</vt:lpwstr>
  </property>
  <property fmtid="{D5CDD505-2E9C-101B-9397-08002B2CF9AE}" pid="8" name="MSIP_Label_3094c1fb-3db8-4cce-b079-9b022302847f_Name">
    <vt:lpwstr>[Prod v5] C1 - Standard</vt:lpwstr>
  </property>
  <property fmtid="{D5CDD505-2E9C-101B-9397-08002B2CF9AE}" pid="9" name="MSIP_Label_3094c1fb-3db8-4cce-b079-9b022302847f_SiteId">
    <vt:lpwstr>035e5292-5a25-4509-bb08-a555f7d31a8b</vt:lpwstr>
  </property>
  <property fmtid="{D5CDD505-2E9C-101B-9397-08002B2CF9AE}" pid="10" name="MSIP_Label_3094c1fb-3db8-4cce-b079-9b022302847f_ActionId">
    <vt:lpwstr>b3feedcb-f1da-466b-b002-0c9b794bbe9c</vt:lpwstr>
  </property>
  <property fmtid="{D5CDD505-2E9C-101B-9397-08002B2CF9AE}" pid="11" name="MSIP_Label_3094c1fb-3db8-4cce-b079-9b022302847f_ContentBits">
    <vt:lpwstr>0</vt:lpwstr>
  </property>
  <property fmtid="{D5CDD505-2E9C-101B-9397-08002B2CF9AE}" pid="12" name="MSIP_Label_3094c1fb-3db8-4cce-b079-9b022302847f_Tag">
    <vt:lpwstr>10, 3, 0, 1</vt:lpwstr>
  </property>
</Properties>
</file>